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/>
        <w:jc w:val="center"/>
        <w:rPr>
          <w:rFonts w:ascii="方正大标宋简体" w:eastAsia="方正大标宋简体"/>
          <w:sz w:val="44"/>
          <w:szCs w:val="44"/>
        </w:rPr>
      </w:pPr>
      <w:r>
        <w:rPr>
          <w:rFonts w:hint="eastAsia" w:ascii="方正大标宋简体" w:eastAsia="方正大标宋简体"/>
          <w:sz w:val="44"/>
          <w:szCs w:val="44"/>
        </w:rPr>
        <w:t>资本后EMBA董事长高端项目</w:t>
      </w:r>
    </w:p>
    <w:p>
      <w:pPr>
        <w:ind w:firstLine="880"/>
        <w:jc w:val="center"/>
        <w:rPr>
          <w:rFonts w:ascii="方正大标宋简体" w:eastAsia="方正大标宋简体"/>
          <w:sz w:val="36"/>
          <w:szCs w:val="36"/>
        </w:rPr>
      </w:pPr>
      <w:r>
        <w:rPr>
          <w:rFonts w:hint="eastAsia" w:ascii="方正大标宋简体" w:eastAsia="方正大标宋简体"/>
          <w:sz w:val="44"/>
          <w:szCs w:val="44"/>
        </w:rPr>
        <w:t xml:space="preserve">           </w:t>
      </w:r>
      <w:r>
        <w:rPr>
          <w:rFonts w:hint="eastAsia" w:ascii="方正大标宋简体" w:eastAsia="方正大标宋简体"/>
          <w:sz w:val="36"/>
          <w:szCs w:val="36"/>
        </w:rPr>
        <w:t>——新商业领袖培育计划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培养目标：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既有资本运作广度又具商业思想深度的企业投资家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 xml:space="preserve">课程使命： 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新商业领袖=资本运作×商业创新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塑造核心能力=赚钱能力×值钱能力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课程逻辑：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双轮内外兼修课程体系，既赚钱又值钱落地系统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ascii="华文隶书" w:hAnsi="宋体" w:eastAsia="华文隶书"/>
          <w:b/>
          <w:color w:val="7030A0"/>
          <w:sz w:val="36"/>
          <w:szCs w:val="36"/>
        </w:rPr>
        <w:drawing>
          <wp:inline distT="0" distB="0" distL="0" distR="0">
            <wp:extent cx="5274310" cy="2611755"/>
            <wp:effectExtent l="19050" t="0" r="2540" b="0"/>
            <wp:docPr id="5" name="图片 1" descr="C:\Users\wm\AppData\Local\Temp\1560248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wm\AppData\Local\Temp\156024863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98" w:firstLineChars="62"/>
        <w:rPr>
          <w:rFonts w:ascii="微软雅黑" w:hAnsi="微软雅黑" w:eastAsia="微软雅黑"/>
          <w:color w:val="7030A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7030A0"/>
          <w:sz w:val="32"/>
          <w:szCs w:val="32"/>
        </w:rPr>
        <w:t>【项目背景】</w:t>
      </w:r>
    </w:p>
    <w:p>
      <w:pPr>
        <w:pStyle w:val="5"/>
        <w:spacing w:line="345" w:lineRule="atLeast"/>
        <w:ind w:firstLine="6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中国正在迎来一个全新的“资本商业”时代，在这个新的竞争格局下，传统商业世界发生着快速而持续的变革。传统企业如何借助资本的力量突破瓶颈、实现转型升级与指数型成长？如何以资本的视角，洞察企业发展的底层逻辑?如何激活资本杠杆效能，构建多元化融资体系，优化企业资产配置结构？如何把握产业投资风口，塑造企业生态格局？如何深刻理解将会改变商业未来的颠覆性金融科技？如何在新商业时代中，锻造与之匹配的商业模式与企业战略？如何最大化企业的自身价值？这些挑战，都需要新一代商业领袖深入思考并做出实践。</w:t>
      </w:r>
    </w:p>
    <w:p>
      <w:pPr>
        <w:widowControl/>
        <w:spacing w:before="100" w:beforeAutospacing="1" w:after="100" w:afterAutospacing="1" w:line="345" w:lineRule="atLeast"/>
        <w:ind w:firstLine="480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新商业领袖高端项目依托清华五道口资源，调研已毕业十七期投融资班企业家校友，再度对“资本后E</w:t>
      </w:r>
      <w:r>
        <w:rPr>
          <w:rFonts w:ascii="微软雅黑" w:hAnsi="微软雅黑" w:eastAsia="微软雅黑"/>
          <w:kern w:val="0"/>
          <w:sz w:val="24"/>
          <w:szCs w:val="24"/>
        </w:rPr>
        <w:t>MBA</w:t>
      </w:r>
      <w:r>
        <w:rPr>
          <w:rFonts w:hint="eastAsia" w:ascii="微软雅黑" w:hAnsi="微软雅黑" w:eastAsia="微软雅黑"/>
          <w:kern w:val="0"/>
          <w:sz w:val="24"/>
          <w:szCs w:val="24"/>
        </w:rPr>
        <w:t>”课程迭代升级。课程着重关注资本赋能和商业创新两大核心主题，邀请众多顶尖金融学教授、权威政策制定者和资本业界大咖导师，共同打造全方位浸润式学习体验，赋能中国</w:t>
      </w:r>
      <w:bookmarkStart w:id="0" w:name="_GoBack"/>
      <w:bookmarkEnd w:id="0"/>
      <w:r>
        <w:rPr>
          <w:rFonts w:hint="eastAsia" w:ascii="微软雅黑" w:hAnsi="微软雅黑" w:eastAsia="微软雅黑"/>
          <w:kern w:val="0"/>
          <w:sz w:val="24"/>
          <w:szCs w:val="24"/>
        </w:rPr>
        <w:t>企业实现价值再造，取势领跑未来。</w:t>
      </w:r>
    </w:p>
    <w:p>
      <w:pPr>
        <w:spacing w:after="156" w:afterLines="50"/>
        <w:ind w:right="525" w:rightChars="250" w:firstLine="0" w:firstLineChars="0"/>
        <w:jc w:val="left"/>
        <w:rPr>
          <w:rFonts w:ascii="宋体" w:hAnsi="宋体"/>
          <w:b/>
          <w:color w:val="FF0000"/>
          <w:sz w:val="32"/>
          <w:szCs w:val="32"/>
        </w:rPr>
      </w:pPr>
      <w:r>
        <w:rPr>
          <w:rFonts w:hint="eastAsia" w:ascii="宋体" w:hAnsi="宋体"/>
          <w:b/>
          <w:color w:val="FF0000"/>
          <w:sz w:val="32"/>
          <w:szCs w:val="32"/>
        </w:rPr>
        <w:t>【课程设置】</w:t>
      </w:r>
    </w:p>
    <w:p>
      <w:pPr>
        <w:spacing w:after="156" w:afterLines="50"/>
        <w:ind w:left="525" w:leftChars="250" w:right="525" w:rightChars="250" w:firstLine="1219" w:firstLineChars="506"/>
        <w:jc w:val="left"/>
        <w:rPr>
          <w:rFonts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</w:rPr>
        <w:t>系统构建+落地辅导+标杆学习+私董研讨</w:t>
      </w:r>
    </w:p>
    <w:tbl>
      <w:tblPr>
        <w:tblStyle w:val="6"/>
        <w:tblW w:w="9356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7"/>
        <w:gridCol w:w="4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6" w:type="dxa"/>
            <w:gridSpan w:val="2"/>
          </w:tcPr>
          <w:p>
            <w:pPr>
              <w:widowControl/>
              <w:spacing w:before="100" w:beforeAutospacing="1" w:after="100" w:afterAutospacing="1" w:line="345" w:lineRule="atLeast"/>
              <w:ind w:firstLine="640"/>
              <w:jc w:val="center"/>
              <w:rPr>
                <w:rFonts w:ascii="方正大标宋简体" w:hAnsi="微软雅黑" w:eastAsia="方正大标宋简体"/>
                <w:b/>
                <w:color w:val="8064A2" w:themeColor="accent4"/>
                <w:sz w:val="24"/>
                <w:szCs w:val="24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hint="eastAsia" w:ascii="方正大标宋简体" w:hAnsi="微软雅黑" w:eastAsia="方正大标宋简体"/>
                <w:b/>
                <w:color w:val="8064A2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  <w:t>资本赋能篇-洞悉资本逻辑，赋能价值倍增</w:t>
            </w:r>
            <w:r>
              <w:rPr>
                <w:rFonts w:ascii="方正大标宋简体" w:hAnsi="微软雅黑" w:eastAsia="方正大标宋简体"/>
                <w:b/>
                <w:color w:val="8064A2" w:themeColor="accent4"/>
                <w:sz w:val="24"/>
                <w:szCs w:val="24"/>
                <w14:textFill>
                  <w14:solidFill>
                    <w14:schemeClr w14:val="accent4"/>
                  </w14:solidFill>
                </w14:textFill>
              </w:rPr>
              <w:softHyphen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模块一：宏观经济与金融政策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模块二：公司金融与投融资决策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1、世界经济格局与金融秩序</w:t>
            </w:r>
          </w:p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2、全球视角下的中国经济与金融发展</w:t>
            </w:r>
          </w:p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3、中国金融体系与金融改革</w:t>
            </w:r>
          </w:p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4、中国货币与财税政策</w:t>
            </w:r>
          </w:p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5、新时代的经济增长与动力</w:t>
            </w:r>
          </w:p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1、财务分析与财务运作</w:t>
            </w:r>
          </w:p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2、财务管理：战略与资本结构</w:t>
            </w:r>
          </w:p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3、企业投融资的</w:t>
            </w:r>
            <w:r>
              <w:rPr>
                <w:rFonts w:hint="eastAsia"/>
              </w:rPr>
              <w:fldChar w:fldCharType="begin"/>
            </w:r>
            <w:r>
              <w:instrText xml:space="preserve"> HYPERLINK "http://www.manaren.com/tag/103/200701209/" \t "_blank" 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eastAsia" w:ascii="华文细黑" w:hAnsi="华文细黑" w:eastAsia="华文细黑" w:cs="宋体"/>
                <w:szCs w:val="21"/>
              </w:rPr>
              <w:t>税收管理</w:t>
            </w:r>
            <w:r>
              <w:rPr>
                <w:rFonts w:hint="eastAsia" w:ascii="华文细黑" w:hAnsi="华文细黑" w:eastAsia="华文细黑" w:cs="宋体"/>
                <w:szCs w:val="21"/>
              </w:rPr>
              <w:fldChar w:fldCharType="end"/>
            </w:r>
            <w:r>
              <w:rPr>
                <w:rFonts w:hint="eastAsia" w:ascii="华文细黑" w:hAnsi="华文细黑" w:eastAsia="华文细黑" w:cs="宋体"/>
                <w:szCs w:val="21"/>
              </w:rPr>
              <w:t>与风险控制</w:t>
            </w:r>
          </w:p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</w:t>
            </w:r>
            <w:r>
              <w:rPr>
                <w:rFonts w:ascii="华文细黑" w:hAnsi="华文细黑" w:eastAsia="华文细黑" w:cs="宋体"/>
                <w:szCs w:val="21"/>
              </w:rPr>
              <w:t>企业价值评估</w:t>
            </w:r>
            <w:r>
              <w:rPr>
                <w:rFonts w:hint="eastAsia" w:ascii="华文细黑" w:hAnsi="华文细黑" w:eastAsia="华文细黑" w:cs="宋体"/>
                <w:szCs w:val="21"/>
              </w:rPr>
              <w:t>与挖掘</w:t>
            </w:r>
          </w:p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5、投资项目2个维度3种方法</w:t>
            </w:r>
          </w:p>
          <w:p>
            <w:pPr>
              <w:spacing w:before="156"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模块三：产业与资本融合实务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559" w:firstLineChars="23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模块四：企业多渠道融资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1、产融思维与企业发展战略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2、产业并购与投资逻辑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3、产融结合的发展路径与模式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4、产业视角下的企业资本战略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</w:t>
            </w:r>
            <w:r>
              <w:rPr>
                <w:rFonts w:ascii="华文细黑" w:hAnsi="华文细黑" w:eastAsia="华文细黑"/>
                <w:szCs w:val="21"/>
              </w:rPr>
              <w:t>产融结合的成败因素与企业特质</w:t>
            </w:r>
          </w:p>
          <w:p>
            <w:pPr>
              <w:ind w:firstLine="420"/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1、中国企业融资模式分析与选择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</w:t>
            </w:r>
            <w:r>
              <w:rPr>
                <w:rFonts w:hint="eastAsia" w:ascii="华文细黑" w:hAnsi="华文细黑" w:eastAsia="华文细黑"/>
                <w:szCs w:val="21"/>
              </w:rPr>
              <w:t>生态链融资模式与新风口融资模式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</w:t>
            </w:r>
            <w:r>
              <w:rPr>
                <w:rFonts w:hint="eastAsia" w:ascii="华文细黑" w:hAnsi="华文细黑" w:eastAsia="华文细黑"/>
                <w:szCs w:val="21"/>
              </w:rPr>
              <w:t>融资前准备与融资工具</w:t>
            </w:r>
            <w:r>
              <w:rPr>
                <w:rFonts w:ascii="华文细黑" w:hAnsi="华文细黑" w:eastAsia="华文细黑"/>
                <w:szCs w:val="21"/>
              </w:rPr>
              <w:t>-</w:t>
            </w:r>
            <w:r>
              <w:rPr>
                <w:rFonts w:hint="eastAsia" w:ascii="华文细黑" w:hAnsi="华文细黑" w:eastAsia="华文细黑"/>
                <w:szCs w:val="21"/>
              </w:rPr>
              <w:t>商业计划书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</w:t>
            </w:r>
            <w:r>
              <w:rPr>
                <w:rFonts w:hint="eastAsia" w:ascii="华文细黑" w:hAnsi="华文细黑" w:eastAsia="华文细黑"/>
                <w:szCs w:val="21"/>
              </w:rPr>
              <w:t>融资关键技术与法律风险防范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</w:t>
            </w:r>
            <w:r>
              <w:rPr>
                <w:rFonts w:hint="eastAsia" w:ascii="华文细黑" w:hAnsi="华文细黑" w:eastAsia="华文细黑"/>
                <w:szCs w:val="21"/>
              </w:rPr>
              <w:t>路演逻辑与能力锻造</w:t>
            </w:r>
          </w:p>
          <w:p>
            <w:pPr>
              <w:spacing w:after="156" w:after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模块五：私募股权投资（PE/VC）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模块六：企业上市路径规划与策略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</w:t>
            </w:r>
            <w:r>
              <w:rPr>
                <w:rFonts w:hint="eastAsia" w:ascii="华文细黑" w:hAnsi="华文细黑" w:eastAsia="华文细黑"/>
                <w:szCs w:val="21"/>
              </w:rPr>
              <w:t>私募基金的募集方法及程序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</w:t>
            </w:r>
            <w:r>
              <w:rPr>
                <w:rFonts w:hint="eastAsia" w:ascii="华文细黑" w:hAnsi="华文细黑" w:eastAsia="华文细黑"/>
                <w:szCs w:val="21"/>
              </w:rPr>
              <w:t>私募股权投资的项目投资实操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</w:t>
            </w:r>
            <w:r>
              <w:rPr>
                <w:rFonts w:hint="eastAsia" w:ascii="华文细黑" w:hAnsi="华文细黑" w:eastAsia="华文细黑"/>
                <w:szCs w:val="21"/>
              </w:rPr>
              <w:t>私募股权投资的管理模式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</w:t>
            </w:r>
            <w:r>
              <w:rPr>
                <w:rFonts w:hint="eastAsia" w:ascii="华文细黑" w:hAnsi="华文细黑" w:eastAsia="华文细黑"/>
                <w:szCs w:val="21"/>
              </w:rPr>
              <w:t>私募股权投资的退出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</w:t>
            </w:r>
            <w:r>
              <w:rPr>
                <w:rFonts w:hint="eastAsia" w:ascii="华文细黑" w:hAnsi="华文细黑" w:eastAsia="华文细黑"/>
                <w:szCs w:val="21"/>
              </w:rPr>
              <w:t>私募股权投资的风险防范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</w:t>
            </w:r>
            <w:r>
              <w:rPr>
                <w:rFonts w:hint="eastAsia" w:ascii="华文细黑" w:hAnsi="华文细黑" w:eastAsia="华文细黑"/>
                <w:szCs w:val="21"/>
              </w:rPr>
              <w:t>上市的地点、时机与方式的优化选择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2、企业上市总体流程与运作框图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3、企业上市前的融资、改制与重组规范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4、企业上市冲刺与实战经验总结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5、科创板红利、未来走势与投融资策略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模块七：全面市值管理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模块八：企业并购与重组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auto"/>
          </w:tcPr>
          <w:p>
            <w:pPr>
              <w:spacing w:before="156"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softHyphen/>
            </w:r>
            <w:r>
              <w:rPr>
                <w:rFonts w:hint="eastAsia" w:ascii="华文细黑" w:hAnsi="华文细黑" w:eastAsia="华文细黑" w:cs="宋体"/>
                <w:szCs w:val="21"/>
              </w:rPr>
              <w:t>1、</w:t>
            </w:r>
            <w:r>
              <w:rPr>
                <w:rFonts w:hint="eastAsia" w:ascii="华文细黑" w:hAnsi="华文细黑" w:eastAsia="华文细黑"/>
                <w:szCs w:val="21"/>
              </w:rPr>
              <w:t>企业价值的形成与评估逻辑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</w:t>
            </w:r>
            <w:r>
              <w:rPr>
                <w:rFonts w:hint="eastAsia" w:ascii="华文细黑" w:hAnsi="华文细黑" w:eastAsia="华文细黑"/>
                <w:szCs w:val="21"/>
              </w:rPr>
              <w:t>估值方法概论与案例实践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</w:t>
            </w:r>
            <w:r>
              <w:rPr>
                <w:rFonts w:ascii="华文细黑" w:hAnsi="华文细黑" w:eastAsia="华文细黑"/>
                <w:szCs w:val="21"/>
              </w:rPr>
              <w:t>PE/VC</w:t>
            </w:r>
            <w:r>
              <w:rPr>
                <w:rFonts w:hint="eastAsia" w:ascii="华文细黑" w:hAnsi="华文细黑" w:eastAsia="华文细黑"/>
                <w:szCs w:val="21"/>
              </w:rPr>
              <w:t>推动企业价值实现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</w:t>
            </w:r>
            <w:r>
              <w:rPr>
                <w:rFonts w:hint="eastAsia" w:ascii="华文细黑" w:hAnsi="华文细黑" w:eastAsia="华文细黑"/>
                <w:szCs w:val="21"/>
              </w:rPr>
              <w:t>市值管理机制与实践方法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</w:t>
            </w:r>
            <w:r>
              <w:rPr>
                <w:rFonts w:hint="eastAsia" w:ascii="华文细黑" w:hAnsi="华文细黑" w:eastAsia="华文细黑"/>
                <w:szCs w:val="21"/>
              </w:rPr>
              <w:t>资产证券化概览及案例分享</w:t>
            </w:r>
          </w:p>
          <w:p>
            <w:pPr>
              <w:spacing w:line="360" w:lineRule="auto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  <w:tc>
          <w:tcPr>
            <w:tcW w:w="4399" w:type="dxa"/>
            <w:shd w:val="clear" w:color="auto" w:fill="auto"/>
          </w:tcPr>
          <w:p>
            <w:pPr>
              <w:spacing w:before="156"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</w:t>
            </w:r>
            <w:r>
              <w:rPr>
                <w:rFonts w:hint="eastAsia" w:ascii="华文细黑" w:hAnsi="华文细黑" w:eastAsia="华文细黑" w:cs="Arial"/>
                <w:bCs/>
                <w:color w:val="191919"/>
                <w:szCs w:val="21"/>
              </w:rPr>
              <w:t>并购重组的理论与动因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2、并购方式与操作要点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</w:t>
            </w:r>
            <w:r>
              <w:rPr>
                <w:rFonts w:hint="eastAsia" w:ascii="华文细黑" w:hAnsi="华文细黑" w:eastAsia="华文细黑" w:cs="Arial"/>
                <w:bCs/>
                <w:color w:val="191919"/>
                <w:szCs w:val="21"/>
              </w:rPr>
              <w:t>企业并购融资及分险控制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</w:t>
            </w:r>
            <w:r>
              <w:rPr>
                <w:rFonts w:hint="eastAsia" w:ascii="华文细黑" w:hAnsi="华文细黑" w:eastAsia="华文细黑"/>
                <w:szCs w:val="21"/>
              </w:rPr>
              <w:t>并购基金实践与产业链融资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</w:t>
            </w:r>
            <w:r>
              <w:rPr>
                <w:rFonts w:hint="eastAsia" w:ascii="华文细黑" w:hAnsi="华文细黑" w:eastAsia="华文细黑"/>
                <w:szCs w:val="21"/>
              </w:rPr>
              <w:t>并购整合与投后管理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41" w:firstLineChars="183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模块九：金融投资原理与实务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39" w:firstLineChars="1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模块十：未来趋势行业投资洞察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1、股票投资与债券投资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2、期货投资与期权投资</w:t>
            </w:r>
          </w:p>
          <w:p>
            <w:pPr>
              <w:spacing w:line="360" w:lineRule="auto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3、信托投资与委托投资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4、金融投资的风险管理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5、金融衍生工具应用及风险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1、智能时代的新商业逻辑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2、大数据与人工智能的商业认知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3、工业4.0与智能制造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4、生物制药的产业全息前景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5、科技黎明-新能源与新材料的发展趋势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6、趋势行业投融资决策</w:t>
            </w:r>
          </w:p>
        </w:tc>
      </w:tr>
    </w:tbl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0"/>
          <w:szCs w:val="30"/>
        </w:rPr>
      </w:pPr>
    </w:p>
    <w:tbl>
      <w:tblPr>
        <w:tblStyle w:val="6"/>
        <w:tblW w:w="9319" w:type="dxa"/>
        <w:jc w:val="center"/>
        <w:tblInd w:w="-835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2268"/>
        <w:gridCol w:w="5399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方正大标宋简体" w:hAnsi="宋体" w:eastAsia="方正大标宋简体"/>
                <w:b/>
                <w:sz w:val="32"/>
                <w:szCs w:val="32"/>
              </w:rPr>
            </w:pPr>
            <w:r>
              <w:rPr>
                <w:rFonts w:hint="eastAsia" w:ascii="方正大标宋简体" w:hAnsi="宋体" w:eastAsia="方正大标宋简体"/>
                <w:b/>
                <w:sz w:val="32"/>
                <w:szCs w:val="32"/>
              </w:rPr>
              <w:t>商业创新篇：洞察商业本质，创新缔造成长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模块一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商业洞察</w:t>
            </w:r>
          </w:p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企业定位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趋势洞察：未来商业方向-纵向看穿，横向看透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产业洞察：顶层设计，找准定位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消费洞察：用户定位，产品创新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优势竞争定位：愿景、使命、价值观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pStyle w:val="12"/>
              <w:ind w:left="360" w:firstLine="0" w:firstLineChars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洞察商业逻辑本质，确定优势竞争地位（定位决定方向）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模块二</w:t>
            </w:r>
          </w:p>
          <w:p>
            <w:pPr>
              <w:ind w:firstLine="720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spacing w:line="420" w:lineRule="exact"/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商业模式</w:t>
            </w:r>
          </w:p>
          <w:p>
            <w:pPr>
              <w:spacing w:line="420" w:lineRule="exact"/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颠覆创新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商业模式创新：深度再造价值链系统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如何设计符合资本市场的商业模式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如何通过商业模式创新，赢得动态竞争和行业风口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如何通过商业模式创新，提升企业市场控制力与定价权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spacing w:line="360" w:lineRule="auto"/>
              <w:ind w:firstLine="482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 xml:space="preserve">   </w:t>
            </w:r>
            <w:r>
              <w:rPr>
                <w:rFonts w:hint="eastAsia"/>
                <w:b/>
                <w:sz w:val="24"/>
                <w:szCs w:val="24"/>
              </w:rPr>
              <w:t>进化商业盈利模式，打造持续成长机制（模式决定优劣）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模块三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公司治理</w:t>
            </w:r>
          </w:p>
          <w:p>
            <w:pPr>
              <w:ind w:firstLine="0" w:firstLineChars="0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>股权激励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企业高速发展基础与保障-公司治理： 1、决策机制2、管控机制3、监督机制4、激励机制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企业股权结构设计路线图与方案要点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通过股权结构设计，吸引和对接资本市场力量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通过股权结构设计，建立企业长效增长机制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24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推进股权结构设计，实现团队高度认同与高能激励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pStyle w:val="12"/>
              <w:spacing w:line="420" w:lineRule="exact"/>
              <w:ind w:firstLine="0" w:firstLineChars="0"/>
              <w:jc w:val="center"/>
              <w:rPr>
                <w:rFonts w:ascii="宋体" w:hAnsi="宋体" w:cs="微软雅黑"/>
                <w:b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微软雅黑"/>
                <w:b/>
                <w:kern w:val="0"/>
                <w:sz w:val="24"/>
                <w:szCs w:val="24"/>
                <w:lang w:val="zh-TW"/>
              </w:rPr>
              <w:t>公司治理顶层架构，实现企业价值倍增（激励决定效率）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模块四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战略罗盘</w:t>
            </w:r>
          </w:p>
          <w:p>
            <w:pPr>
              <w:ind w:firstLine="0" w:firstLineChars="0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>规划落地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细分市场系统分析，预测未来发展趋势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企业战略群体分析，明晰未来发展方向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价值环节定位分析，明确企业核心能力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业务的选择与定位，科学业务组合发展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竞争因素对比分析，获得业务竞争优势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有效规划资源配置，保障战略落地执行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企业战略导航设定，执行系统规划落地（规划决定执行）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rFonts w:ascii="宋体" w:hAnsi="宋体" w:cs="宋体"/>
                <w:b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模块五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赋能组织</w:t>
            </w:r>
          </w:p>
          <w:p>
            <w:pPr>
              <w:ind w:firstLine="0" w:firstLineChars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指数增长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赋能——打造应对不确定性的敏捷团队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企业全息洞察与组织进化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>未来组织管理模式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流程再造与自动自发机制构建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敏捷组织支撑企业指数级增长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赋能进化组织能力，成就企业指数增长（组织决定成败）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模块六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新资本模式企业实战演练与游学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企业项目路演辅导与实战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企业深度会诊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学员企业专家随访考察调研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探访创新之源：硅谷（谷歌、苹果等）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走进金融中心：纽交所、纳斯达克、摩根、高盛、 花旗等金融机构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感受知识殿堂：哈佛、MIT、斯坦福等顶级学府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实战演练优化系统，标杆参访学习先进（实战成就未来）</w:t>
            </w:r>
          </w:p>
        </w:tc>
      </w:tr>
    </w:tbl>
    <w:p>
      <w:pPr>
        <w:ind w:firstLine="420"/>
      </w:pPr>
    </w:p>
    <w:p>
      <w:pPr>
        <w:autoSpaceDE w:val="0"/>
        <w:autoSpaceDN w:val="0"/>
        <w:adjustRightInd w:val="0"/>
        <w:ind w:firstLine="0" w:firstLineChars="0"/>
        <w:jc w:val="left"/>
        <w:rPr>
          <w:rFonts w:ascii="宋体" w:hAnsi="宋体" w:eastAsia="宋体" w:cs="Times New Roman"/>
          <w:b/>
          <w:color w:val="7030A0"/>
          <w:sz w:val="32"/>
          <w:szCs w:val="32"/>
        </w:rPr>
      </w:pPr>
    </w:p>
    <w:p>
      <w:pPr>
        <w:autoSpaceDE w:val="0"/>
        <w:autoSpaceDN w:val="0"/>
        <w:adjustRightInd w:val="0"/>
        <w:ind w:firstLine="0" w:firstLineChars="0"/>
        <w:jc w:val="left"/>
        <w:rPr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Times New Roman"/>
          <w:b/>
          <w:color w:val="7030A0"/>
          <w:sz w:val="32"/>
          <w:szCs w:val="32"/>
        </w:rPr>
        <w:t>【拟邀部分授课导师</w:t>
      </w:r>
      <w:r>
        <w:rPr>
          <w:rFonts w:hint="eastAsia" w:ascii="宋体" w:hAnsi="宋体" w:eastAsia="宋体" w:cs="Times New Roman"/>
          <w:bCs/>
          <w:color w:val="7030A0"/>
          <w:sz w:val="32"/>
          <w:szCs w:val="32"/>
        </w:rPr>
        <w:t>】</w:t>
      </w:r>
    </w:p>
    <w:p>
      <w:pPr>
        <w:ind w:firstLine="420"/>
        <w:jc w:val="left"/>
        <w:rPr>
          <w:bCs/>
        </w:rPr>
      </w:pPr>
      <w:r>
        <w:rPr>
          <w:bCs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1285875" cy="1514475"/>
            <wp:effectExtent l="0" t="0" r="9525" b="9525"/>
            <wp:wrapSquare wrapText="bothSides"/>
            <wp:docPr id="1" name="图片 1" descr="李稻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稻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482" w:firstLineChars="15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李稻葵</w:t>
      </w:r>
    </w:p>
    <w:p>
      <w:pPr>
        <w:adjustRightInd w:val="0"/>
        <w:ind w:right="210" w:rightChars="100" w:firstLineChars="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t>清华大学经济管理学院教授</w:t>
      </w:r>
      <w:r>
        <w:rPr>
          <w:rFonts w:hint="eastAsia" w:ascii="Arial" w:hAnsi="Arial" w:cs="Arial"/>
          <w:color w:val="333333"/>
          <w:sz w:val="22"/>
          <w:shd w:val="clear" w:color="auto" w:fill="FFFFFF"/>
        </w:rPr>
        <w:t>，清华大学中国与世界经济研究   中心主任，中国人民银行货币政策委员会委员</w:t>
      </w: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640"/>
        <w:jc w:val="left"/>
        <w:rPr>
          <w:b/>
          <w:color w:val="C00000"/>
          <w:sz w:val="2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92075</wp:posOffset>
            </wp:positionV>
            <wp:extent cx="1285875" cy="1508125"/>
            <wp:effectExtent l="0" t="0" r="9525" b="15875"/>
            <wp:wrapSquare wrapText="bothSides"/>
            <wp:docPr id="2" name="图片 2" descr="周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周 立 </w:t>
      </w:r>
    </w:p>
    <w:p>
      <w:pPr>
        <w:ind w:right="210" w:rightChars="100" w:firstLine="440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清华大学经济管理学院教授，现为4家上市公司独立董事</w:t>
      </w:r>
    </w:p>
    <w:p>
      <w:pPr>
        <w:ind w:right="210" w:rightChars="100" w:firstLine="442"/>
        <w:rPr>
          <w:b/>
          <w:color w:val="C00000"/>
          <w:sz w:val="2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right="210" w:rightChars="100" w:firstLine="440"/>
        <w:rPr>
          <w:b/>
          <w:color w:val="C00000"/>
          <w:sz w:val="22"/>
        </w:rPr>
      </w:pPr>
      <w:r>
        <w:rPr>
          <w:rFonts w:hint="eastAsia" w:ascii="宋体" w:hAnsi="宋体"/>
          <w:sz w:val="22"/>
        </w:rPr>
        <w:t>(中金黄金、中航重机、辉丰股份、上海科技)现受聘为中</w:t>
      </w:r>
    </w:p>
    <w:p>
      <w:pPr>
        <w:ind w:right="210" w:rightChars="100" w:firstLine="0" w:firstLineChars="0"/>
        <w:rPr>
          <w:rFonts w:ascii="宋体" w:hAnsi="宋体"/>
          <w:sz w:val="32"/>
          <w:szCs w:val="3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right="210" w:rightChars="100" w:firstLine="440"/>
        <w:rPr>
          <w:b/>
          <w:color w:val="C00000"/>
          <w:sz w:val="22"/>
        </w:rPr>
      </w:pPr>
      <w:r>
        <w:rPr>
          <w:rFonts w:hint="eastAsia" w:ascii="宋体" w:hAnsi="宋体"/>
          <w:sz w:val="22"/>
        </w:rPr>
        <w:t>国水电集团地产公司外部董事，兼任信达证券内核委员会</w:t>
      </w:r>
    </w:p>
    <w:p>
      <w:pPr>
        <w:spacing w:line="400" w:lineRule="exact"/>
        <w:ind w:firstLine="440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22"/>
        </w:rPr>
        <w:t>委员。</w:t>
      </w:r>
      <w:r>
        <w:rPr>
          <w:rFonts w:hint="eastAsia" w:ascii="宋体" w:hAnsi="宋体"/>
          <w:sz w:val="32"/>
          <w:szCs w:val="32"/>
        </w:rPr>
        <w:t xml:space="preserve">                                                                                </w:t>
      </w:r>
    </w:p>
    <w:p>
      <w:pPr>
        <w:spacing w:line="400" w:lineRule="exact"/>
        <w:ind w:left="1920" w:hanging="1920" w:hangingChars="600"/>
        <w:jc w:val="left"/>
        <w:rPr>
          <w:rFonts w:ascii="宋体" w:hAnsi="宋体"/>
          <w:sz w:val="32"/>
          <w:szCs w:val="32"/>
        </w:rPr>
      </w:pPr>
    </w:p>
    <w:p>
      <w:pPr>
        <w:spacing w:line="400" w:lineRule="exact"/>
        <w:ind w:left="1920" w:hanging="1920" w:hangingChars="600"/>
        <w:jc w:val="left"/>
        <w:rPr>
          <w:rFonts w:ascii="宋体" w:hAnsi="宋体"/>
          <w:sz w:val="32"/>
          <w:szCs w:val="32"/>
        </w:rPr>
      </w:pPr>
    </w:p>
    <w:p>
      <w:pPr>
        <w:ind w:firstLine="442"/>
        <w:rPr>
          <w:rFonts w:ascii="宋体" w:hAnsi="宋体"/>
          <w:sz w:val="32"/>
          <w:szCs w:val="32"/>
        </w:rPr>
      </w:pPr>
      <w:r>
        <w:rPr>
          <w:rFonts w:hint="eastAsia"/>
          <w:b/>
          <w:color w:val="C00000"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294640</wp:posOffset>
            </wp:positionV>
            <wp:extent cx="1265555" cy="1477645"/>
            <wp:effectExtent l="0" t="0" r="10795" b="8255"/>
            <wp:wrapSquare wrapText="bothSides"/>
            <wp:docPr id="3" name="图片 3" descr="韩廷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韩廷春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32"/>
          <w:szCs w:val="32"/>
        </w:rPr>
        <w:t xml:space="preserve">   </w:t>
      </w:r>
    </w:p>
    <w:p>
      <w:pPr>
        <w:ind w:firstLine="803" w:firstLineChars="25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韩廷春</w:t>
      </w:r>
    </w:p>
    <w:p>
      <w:pPr>
        <w:autoSpaceDE w:val="0"/>
        <w:autoSpaceDN w:val="0"/>
        <w:adjustRightInd w:val="0"/>
        <w:ind w:firstLine="660" w:firstLineChars="300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清华大学公共管理学院经济学教授、博士生导师。</w:t>
      </w:r>
    </w:p>
    <w:p>
      <w:pPr>
        <w:spacing w:line="400" w:lineRule="exact"/>
        <w:ind w:left="1920" w:hanging="1920" w:hangingChars="600"/>
        <w:jc w:val="left"/>
        <w:rPr>
          <w:rFonts w:ascii="宋体" w:hAnsi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/>
          <w:sz w:val="32"/>
          <w:szCs w:val="32"/>
        </w:rPr>
        <w:t xml:space="preserve">        </w:t>
      </w: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sz w:val="30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238760</wp:posOffset>
            </wp:positionV>
            <wp:extent cx="1323975" cy="1296670"/>
            <wp:effectExtent l="0" t="0" r="9525" b="17780"/>
            <wp:wrapSquare wrapText="bothSides"/>
            <wp:docPr id="548" name="图片 564" descr="C:\Users\wm\AppData\Local\Temp\WeChat Files\56350391046513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64" descr="C:\Users\wm\AppData\Local\Temp\WeChat Files\5635039104651391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4346" r="79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after="156" w:afterLines="50" w:line="400" w:lineRule="exact"/>
        <w:ind w:firstLine="602"/>
        <w:jc w:val="left"/>
        <w:rPr>
          <w:rFonts w:ascii="宋体" w:hAnsi="宋体" w:eastAsia="宋体" w:cs="Times New Roman"/>
          <w:b/>
          <w:bCs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sz w:val="30"/>
          <w:szCs w:val="30"/>
        </w:rPr>
        <w:t>杨 壮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北大国发院金光讲席教授、BiMBA商学院联席院长。研究领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域：管理学基础，组织行为学，人力资源管理，组织创新与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文化变革，国际化领导力，跨国公司运作与管理</w:t>
      </w:r>
    </w:p>
    <w:p>
      <w:pPr>
        <w:spacing w:line="360" w:lineRule="auto"/>
        <w:ind w:firstLine="640"/>
        <w:rPr>
          <w:sz w:val="32"/>
          <w:szCs w:val="32"/>
        </w:rPr>
      </w:pPr>
    </w:p>
    <w:p>
      <w:pPr>
        <w:ind w:firstLine="561"/>
        <w:rPr>
          <w:sz w:val="32"/>
          <w:szCs w:val="32"/>
        </w:rPr>
      </w:pPr>
      <w:r>
        <w:rPr>
          <w:rFonts w:hint="eastAsia" w:ascii="华文新魏" w:eastAsia="华文新魏"/>
          <w:b/>
          <w:bCs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313055</wp:posOffset>
            </wp:positionV>
            <wp:extent cx="1250315" cy="1489710"/>
            <wp:effectExtent l="0" t="0" r="6985" b="15240"/>
            <wp:wrapSquare wrapText="bothSides"/>
            <wp:docPr id="4" name="图片 4" descr="欧阳良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欧阳良宜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3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欧阳良宜</w:t>
      </w:r>
    </w:p>
    <w:p>
      <w:pPr>
        <w:ind w:right="210" w:rightChars="100" w:firstLine="630" w:firstLineChars="300"/>
      </w:pPr>
      <w:r>
        <w:t>北京大学汇丰商学院金融学教授、助理院长，EMBA主任，特</w:t>
      </w:r>
      <w:r>
        <w:rPr>
          <w:rFonts w:hint="eastAsia"/>
        </w:rPr>
        <w:t xml:space="preserve"> </w:t>
      </w:r>
    </w:p>
    <w:p>
      <w:pPr>
        <w:ind w:right="210" w:rightChars="100" w:firstLine="630" w:firstLineChars="300"/>
      </w:pPr>
      <w:r>
        <w:t>许金融分析师。</w:t>
      </w:r>
    </w:p>
    <w:p>
      <w:pPr>
        <w:widowControl/>
        <w:spacing w:before="312" w:beforeLines="100"/>
        <w:ind w:right="-315" w:rightChars="-150" w:firstLine="420"/>
        <w:jc w:val="left"/>
      </w:pPr>
    </w:p>
    <w:p>
      <w:pPr>
        <w:widowControl/>
        <w:ind w:firstLine="420"/>
        <w:jc w:val="left"/>
      </w:pPr>
    </w:p>
    <w:p>
      <w:pPr>
        <w:widowControl/>
        <w:spacing w:before="156" w:beforeLines="50"/>
        <w:ind w:firstLine="803" w:firstLineChars="250"/>
        <w:jc w:val="left"/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13970</wp:posOffset>
            </wp:positionV>
            <wp:extent cx="1195705" cy="1579880"/>
            <wp:effectExtent l="19050" t="0" r="4445" b="0"/>
            <wp:wrapSquare wrapText="bothSides"/>
            <wp:docPr id="28" name="图片 6" descr="微信图片_2017042507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微信图片_201704250757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朱少平</w:t>
      </w:r>
      <w:r>
        <w:rPr>
          <w:rFonts w:hint="eastAsia"/>
        </w:rPr>
        <w:t xml:space="preserve">  </w:t>
      </w:r>
    </w:p>
    <w:p>
      <w:pPr>
        <w:widowControl/>
        <w:ind w:firstLine="735" w:firstLineChars="350"/>
        <w:jc w:val="left"/>
      </w:pPr>
      <w:r>
        <w:rPr>
          <w:rFonts w:hint="eastAsia"/>
        </w:rPr>
        <w:t>全国人大财经委法案主任，曾参与多部政策法律文件起草，在</w:t>
      </w:r>
    </w:p>
    <w:p>
      <w:pPr>
        <w:widowControl/>
        <w:ind w:firstLine="735" w:firstLineChars="350"/>
        <w:jc w:val="left"/>
      </w:pPr>
      <w:r>
        <w:rPr>
          <w:rFonts w:hint="eastAsia"/>
        </w:rPr>
        <w:t>国企改革与有关国有经济、证券市场、私股权投资、投资基金、</w:t>
      </w:r>
    </w:p>
    <w:p>
      <w:pPr>
        <w:widowControl/>
        <w:ind w:firstLine="735" w:firstLineChars="350"/>
        <w:jc w:val="left"/>
      </w:pPr>
      <w:r>
        <w:rPr>
          <w:rFonts w:hint="eastAsia"/>
        </w:rPr>
        <w:t>信托、合伙制等方面有深入研究。</w:t>
      </w:r>
    </w:p>
    <w:p>
      <w:pPr>
        <w:ind w:firstLine="48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</w:t>
      </w:r>
    </w:p>
    <w:p>
      <w:pPr>
        <w:ind w:firstLine="480"/>
        <w:rPr>
          <w:rFonts w:ascii="宋体" w:hAnsi="宋体" w:cs="宋体"/>
          <w:kern w:val="0"/>
          <w:sz w:val="24"/>
        </w:rPr>
      </w:pPr>
    </w:p>
    <w:p>
      <w:pPr>
        <w:ind w:firstLine="843" w:firstLineChars="300"/>
        <w:rPr>
          <w:rFonts w:ascii="Arial" w:hAnsi="Arial" w:eastAsia="黑体" w:cs="Arial"/>
          <w:b/>
          <w:sz w:val="28"/>
        </w:rPr>
      </w:pPr>
      <w:r>
        <w:rPr>
          <w:rFonts w:ascii="Arial" w:hAnsi="Arial" w:eastAsia="黑体" w:cs="Arial"/>
          <w:b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70485</wp:posOffset>
            </wp:positionV>
            <wp:extent cx="1186815" cy="1553845"/>
            <wp:effectExtent l="0" t="0" r="13335" b="8255"/>
            <wp:wrapSquare wrapText="bothSides"/>
            <wp:docPr id="544" name="图片 565" descr="5U5A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65" descr="5U5A24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黑体" w:cs="Arial"/>
          <w:b/>
          <w:sz w:val="28"/>
        </w:rPr>
        <w:t xml:space="preserve">金岩石  </w:t>
      </w:r>
    </w:p>
    <w:p>
      <w:pPr>
        <w:ind w:firstLine="735" w:firstLineChars="350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hint="eastAsia"/>
        </w:rPr>
        <w:t>独立经济学家，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原</w:t>
      </w:r>
      <w:r>
        <w:rPr>
          <w:rFonts w:ascii="Arial" w:hAnsi="Arial" w:cs="Arial"/>
          <w:szCs w:val="21"/>
          <w:shd w:val="clear" w:color="auto" w:fill="FFFFFF"/>
        </w:rPr>
        <w:t>国金证券</w:t>
      </w:r>
      <w:r>
        <w:rPr>
          <w:rFonts w:ascii="Arial" w:hAnsi="Arial" w:cs="Arial"/>
          <w:color w:val="333333"/>
          <w:szCs w:val="21"/>
          <w:shd w:val="clear" w:color="auto" w:fill="FFFFFF"/>
        </w:rPr>
        <w:t>首席经济学家，被海内外媒体誉为</w:t>
      </w:r>
    </w:p>
    <w:p>
      <w:pPr>
        <w:ind w:firstLine="735" w:firstLineChars="350"/>
      </w:pP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szCs w:val="21"/>
          <w:shd w:val="clear" w:color="auto" w:fill="FFFFFF"/>
        </w:rPr>
        <w:t>索罗斯</w:t>
      </w:r>
      <w:r>
        <w:rPr>
          <w:rFonts w:ascii="Arial" w:hAnsi="Arial" w:cs="Arial"/>
          <w:color w:val="333333"/>
          <w:szCs w:val="21"/>
          <w:shd w:val="clear" w:color="auto" w:fill="FFFFFF"/>
        </w:rPr>
        <w:t>的中国门徒”、“</w:t>
      </w:r>
      <w:r>
        <w:rPr>
          <w:rFonts w:ascii="Arial" w:hAnsi="Arial" w:cs="Arial"/>
          <w:szCs w:val="21"/>
          <w:shd w:val="clear" w:color="auto" w:fill="FFFFFF"/>
        </w:rPr>
        <w:t>纳斯达克</w:t>
      </w:r>
      <w:r>
        <w:rPr>
          <w:rFonts w:ascii="Arial" w:hAnsi="Arial" w:cs="Arial"/>
          <w:color w:val="333333"/>
          <w:szCs w:val="21"/>
          <w:shd w:val="clear" w:color="auto" w:fill="FFFFFF"/>
        </w:rPr>
        <w:t>市场的活字典”。</w:t>
      </w:r>
      <w:r>
        <w:t xml:space="preserve"> </w:t>
      </w:r>
      <w:r>
        <w:rPr>
          <w:rFonts w:hint="eastAsia"/>
        </w:rPr>
        <w:t>曾</w:t>
      </w:r>
      <w:r>
        <w:t>受聘为全</w:t>
      </w:r>
    </w:p>
    <w:p>
      <w:pPr>
        <w:ind w:firstLine="735" w:firstLineChars="350"/>
      </w:pPr>
      <w:r>
        <w:t>国人大财经委《证券法》修订小组</w:t>
      </w:r>
      <w:r>
        <w:rPr>
          <w:rFonts w:hint="eastAsia"/>
        </w:rPr>
        <w:t xml:space="preserve"> 专家，北京大学汇丰商学院</w:t>
      </w:r>
    </w:p>
    <w:p>
      <w:pPr>
        <w:ind w:firstLine="735" w:firstLineChars="350"/>
      </w:pPr>
      <w:r>
        <w:rPr>
          <w:rFonts w:hint="eastAsia"/>
        </w:rPr>
        <w:t>金融课程主任教授， 2010年6月荣获</w:t>
      </w:r>
      <w:r>
        <w:t>中国证券市场20年 “最</w:t>
      </w:r>
    </w:p>
    <w:p>
      <w:pPr>
        <w:ind w:firstLine="735" w:firstLineChars="350"/>
        <w:rPr>
          <w:rFonts w:ascii="Arial" w:hAnsi="Arial" w:eastAsia="黑体" w:cs="Arial"/>
          <w:b/>
          <w:sz w:val="28"/>
        </w:rPr>
      </w:pPr>
      <w:r>
        <w:t>具影响力人物奖”</w:t>
      </w:r>
      <w:r>
        <w:rPr>
          <w:rFonts w:hint="eastAsia"/>
        </w:rPr>
        <w:t>。2016年荣获《第一财经》年度财经人物。</w:t>
      </w:r>
    </w:p>
    <w:p>
      <w:pPr>
        <w:widowControl/>
        <w:ind w:firstLine="0" w:firstLineChars="0"/>
        <w:jc w:val="left"/>
        <w:rPr>
          <w:b/>
          <w:color w:val="C00000"/>
          <w:sz w:val="22"/>
        </w:rPr>
      </w:pPr>
      <w:r>
        <w:rPr>
          <w:b/>
          <w:color w:val="C00000"/>
          <w:sz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219710</wp:posOffset>
            </wp:positionV>
            <wp:extent cx="1196975" cy="1584325"/>
            <wp:effectExtent l="0" t="0" r="3175" b="15875"/>
            <wp:wrapSquare wrapText="bothSides"/>
            <wp:docPr id="7" name="图片 7" descr="杜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杜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964" w:firstLineChars="30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杜兵 </w:t>
      </w:r>
    </w:p>
    <w:p>
      <w:pPr>
        <w:ind w:right="-105" w:rightChars="-50" w:firstLine="770" w:firstLineChars="350"/>
      </w:pPr>
      <w:r>
        <w:rPr>
          <w:rFonts w:hint="eastAsia"/>
          <w:sz w:val="22"/>
        </w:rPr>
        <w:t>华夏基金投资部原副总，第十四</w:t>
      </w:r>
      <w:r>
        <w:rPr>
          <w:rFonts w:hint="eastAsia"/>
        </w:rPr>
        <w:t>、第十五和第十六届主板发审</w:t>
      </w:r>
    </w:p>
    <w:p>
      <w:pPr>
        <w:ind w:right="-105" w:rightChars="-50" w:firstLine="735" w:firstLineChars="350"/>
      </w:pPr>
      <w:r>
        <w:rPr>
          <w:rFonts w:hint="eastAsia"/>
        </w:rPr>
        <w:t>委员会委员，现任宝来资产管理有限公司合伙人,深圳宏时资本</w:t>
      </w:r>
    </w:p>
    <w:p>
      <w:pPr>
        <w:ind w:right="-105" w:rightChars="-50" w:firstLine="735" w:firstLineChars="350"/>
      </w:pPr>
      <w:r>
        <w:rPr>
          <w:rFonts w:hint="eastAsia"/>
        </w:rPr>
        <w:t>管理有限公司执行董事。</w:t>
      </w:r>
    </w:p>
    <w:p>
      <w:pPr>
        <w:widowControl/>
        <w:ind w:right="-105" w:rightChars="-50" w:firstLine="420"/>
        <w:jc w:val="left"/>
      </w:pPr>
    </w:p>
    <w:p>
      <w:pPr>
        <w:widowControl/>
        <w:ind w:firstLine="964" w:firstLineChars="300"/>
        <w:jc w:val="left"/>
        <w:rPr>
          <w:rFonts w:ascii="宋体" w:hAnsi="宋体" w:cs="仿宋"/>
          <w:b/>
          <w:sz w:val="32"/>
          <w:szCs w:val="32"/>
        </w:rPr>
      </w:pPr>
      <w:r>
        <w:rPr>
          <w:rFonts w:hint="eastAsia" w:ascii="宋体" w:hAnsi="宋体" w:cs="仿宋"/>
          <w:b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215900</wp:posOffset>
            </wp:positionV>
            <wp:extent cx="1193800" cy="1374140"/>
            <wp:effectExtent l="0" t="0" r="6350" b="16510"/>
            <wp:wrapSquare wrapText="bothSides"/>
            <wp:docPr id="10" name="图片 10" descr="陈亚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陈亚彬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仿宋"/>
          <w:b/>
          <w:sz w:val="32"/>
          <w:szCs w:val="32"/>
        </w:rPr>
        <w:t>陈亚彬</w:t>
      </w:r>
    </w:p>
    <w:p>
      <w:pPr>
        <w:ind w:firstLine="735" w:firstLineChars="350"/>
      </w:pPr>
      <w:r>
        <w:rPr>
          <w:rFonts w:hint="eastAsia"/>
        </w:rPr>
        <w:t>北京大学经济学院研究学者，英国皇家管理学院院士，新加坡</w:t>
      </w:r>
    </w:p>
    <w:p>
      <w:pPr>
        <w:ind w:firstLine="735" w:firstLineChars="350"/>
      </w:pPr>
      <w:r>
        <w:rPr>
          <w:rFonts w:hint="eastAsia"/>
        </w:rPr>
        <w:t>亚洲管理学院副院长，曾任多家跨国集团、上市公司高管，担</w:t>
      </w:r>
    </w:p>
    <w:p>
      <w:pPr>
        <w:ind w:firstLine="735" w:firstLineChars="350"/>
      </w:pPr>
      <w:r>
        <w:rPr>
          <w:rFonts w:hint="eastAsia"/>
        </w:rPr>
        <w:t>任过多家驰名中小企业特聘顾问，如：相宜本草化妆品有限公</w:t>
      </w:r>
    </w:p>
    <w:p>
      <w:pPr>
        <w:ind w:firstLine="735" w:firstLineChars="350"/>
      </w:pPr>
      <w:r>
        <w:rPr>
          <w:rFonts w:hint="eastAsia"/>
        </w:rPr>
        <w:t>司</w:t>
      </w:r>
      <w:r>
        <w:t>(</w:t>
      </w:r>
      <w:r>
        <w:rPr>
          <w:rFonts w:hint="eastAsia"/>
        </w:rPr>
        <w:t>五年辅导</w:t>
      </w:r>
      <w:r>
        <w:t>,</w:t>
      </w:r>
      <w:r>
        <w:rPr>
          <w:rFonts w:hint="eastAsia"/>
        </w:rPr>
        <w:t>实现从</w:t>
      </w:r>
      <w:r>
        <w:t>6000</w:t>
      </w:r>
      <w:r>
        <w:rPr>
          <w:rFonts w:hint="eastAsia"/>
        </w:rPr>
        <w:t>万到</w:t>
      </w:r>
      <w:r>
        <w:t>22</w:t>
      </w:r>
      <w:r>
        <w:rPr>
          <w:rFonts w:hint="eastAsia"/>
        </w:rPr>
        <w:t>个亿</w:t>
      </w:r>
      <w:r>
        <w:t>)</w:t>
      </w:r>
      <w:r>
        <w:rPr>
          <w:rFonts w:hint="eastAsia"/>
        </w:rPr>
        <w:t>，上海景格科技有限公</w:t>
      </w:r>
    </w:p>
    <w:p>
      <w:pPr>
        <w:ind w:firstLine="420"/>
      </w:pPr>
      <w:r>
        <w:rPr>
          <w:rFonts w:hint="eastAsia"/>
        </w:rPr>
        <w:t xml:space="preserve">   司（新三板上市公司）。</w:t>
      </w:r>
    </w:p>
    <w:p>
      <w:pPr>
        <w:ind w:firstLine="198" w:firstLineChars="62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304800</wp:posOffset>
            </wp:positionV>
            <wp:extent cx="1657985" cy="1375410"/>
            <wp:effectExtent l="0" t="0" r="18415" b="15240"/>
            <wp:wrapSquare wrapText="bothSides"/>
            <wp:docPr id="546" name="图片 16" descr="2-130FQ1493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6" descr="2-130FQ149335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陆满平</w:t>
      </w:r>
    </w:p>
    <w:p>
      <w:pPr>
        <w:ind w:right="105" w:rightChars="50" w:firstLine="420"/>
      </w:pPr>
      <w:r>
        <w:rPr>
          <w:rFonts w:hint="eastAsia"/>
        </w:rPr>
        <w:t>中国社会科学院产业经济学博士后，金融学教授，清华大</w:t>
      </w:r>
    </w:p>
    <w:p>
      <w:pPr>
        <w:ind w:right="105" w:rightChars="50" w:firstLine="420"/>
      </w:pPr>
      <w:r>
        <w:rPr>
          <w:rFonts w:hint="eastAsia"/>
        </w:rPr>
        <w:t>学客座教授，平安证券有限公司投资银行总部执行总经理</w:t>
      </w:r>
    </w:p>
    <w:p>
      <w:pPr>
        <w:ind w:firstLine="420"/>
      </w:pPr>
    </w:p>
    <w:p>
      <w:pPr>
        <w:ind w:firstLine="0" w:firstLineChars="0"/>
        <w:rPr>
          <w:b/>
          <w:sz w:val="32"/>
          <w:szCs w:val="32"/>
        </w:rPr>
      </w:pPr>
    </w:p>
    <w:p>
      <w:pPr>
        <w:ind w:firstLine="2891" w:firstLineChars="90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崔凯</w:t>
      </w:r>
    </w:p>
    <w:p>
      <w:pPr>
        <w:ind w:firstLine="803" w:firstLineChars="250"/>
      </w:pPr>
      <w:r>
        <w:rPr>
          <w:rFonts w:hint="eastAsia"/>
          <w:b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15875</wp:posOffset>
            </wp:positionV>
            <wp:extent cx="1278255" cy="1538605"/>
            <wp:effectExtent l="0" t="0" r="17145" b="4445"/>
            <wp:wrapSquare wrapText="bothSides"/>
            <wp:docPr id="552" name="图片 1" descr="崔凯照片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1" descr="崔凯照片(小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北大纵横管理咨询集团合伙人，上海交通大学安泰经济与管理</w:t>
      </w:r>
    </w:p>
    <w:p>
      <w:pPr>
        <w:ind w:right="105" w:rightChars="50" w:firstLine="840" w:firstLineChars="400"/>
      </w:pPr>
      <w:r>
        <w:rPr>
          <w:rFonts w:hint="eastAsia"/>
        </w:rPr>
        <w:t>学院兼职教授，加利福尼亚大学高级访问学者。曾担任新农</w:t>
      </w:r>
    </w:p>
    <w:p>
      <w:pPr>
        <w:ind w:right="105" w:rightChars="50" w:firstLine="840" w:firstLineChars="400"/>
      </w:pPr>
      <w:r>
        <w:rPr>
          <w:rFonts w:hint="eastAsia"/>
        </w:rPr>
        <w:t>开发（600359）、亚盛集团（600108）和保龄宝（002286）</w:t>
      </w:r>
    </w:p>
    <w:p>
      <w:pPr>
        <w:ind w:right="105" w:rightChars="50" w:firstLine="840" w:firstLineChars="400"/>
      </w:pPr>
      <w:r>
        <w:rPr>
          <w:rFonts w:hint="eastAsia"/>
        </w:rPr>
        <w:t>等多家上市公司独立董事。多次就热点话题接受CCTV、中国</w:t>
      </w:r>
    </w:p>
    <w:p>
      <w:pPr>
        <w:ind w:right="105" w:rightChars="50" w:firstLine="840" w:firstLineChars="400"/>
      </w:pPr>
      <w:r>
        <w:rPr>
          <w:rFonts w:hint="eastAsia"/>
        </w:rPr>
        <w:t>经营报、阿里巴巴等媒体采访，主讲的《资本运营》课程视</w:t>
      </w:r>
    </w:p>
    <w:p>
      <w:pPr>
        <w:ind w:right="105" w:rightChars="50" w:firstLine="840" w:firstLineChars="400"/>
      </w:pPr>
      <w:r>
        <w:rPr>
          <w:rFonts w:hint="eastAsia"/>
        </w:rPr>
        <w:t>频先后在国内三十多家电视台播出。应邀在清华大学、北京</w:t>
      </w:r>
    </w:p>
    <w:p>
      <w:pPr>
        <w:ind w:right="105" w:rightChars="50" w:firstLine="840" w:firstLineChars="400"/>
      </w:pPr>
      <w:r>
        <w:rPr>
          <w:rFonts w:hint="eastAsia"/>
        </w:rPr>
        <w:t>大学、复旦大学、上海交通大学、浙江大学、南京大学等二</w:t>
      </w:r>
    </w:p>
    <w:p>
      <w:pPr>
        <w:ind w:right="105" w:rightChars="50" w:firstLine="2730" w:firstLineChars="1300"/>
        <w:rPr>
          <w:b/>
          <w:sz w:val="32"/>
          <w:szCs w:val="32"/>
        </w:rPr>
      </w:pPr>
      <w:r>
        <w:rPr>
          <w:rFonts w:hint="eastAsia"/>
        </w:rPr>
        <w:t>十几所高校执教EMBA课程。</w:t>
      </w:r>
    </w:p>
    <w:p>
      <w:pPr>
        <w:spacing w:line="400" w:lineRule="exact"/>
        <w:ind w:right="105" w:rightChars="50" w:firstLine="2310" w:firstLineChars="110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333333"/>
          <w:kern w:val="0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81280</wp:posOffset>
            </wp:positionV>
            <wp:extent cx="1445895" cy="1462405"/>
            <wp:effectExtent l="0" t="0" r="1905" b="4445"/>
            <wp:wrapSquare wrapText="bothSides"/>
            <wp:docPr id="561" name="图片 561" descr="C:\Users\wm\AppData\Local\Temp\WeChat Files\80290347910998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 descr="C:\Users\wm\AppData\Local\Temp\WeChat Files\80290347910998053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right="105" w:rightChars="50" w:firstLine="1124" w:firstLineChars="350"/>
        <w:jc w:val="left"/>
        <w:rPr>
          <w:rFonts w:ascii="宋体" w:hAnsi="宋体" w:eastAsia="宋体" w:cs="宋体"/>
          <w:b/>
          <w:bCs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32"/>
          <w:szCs w:val="32"/>
        </w:rPr>
        <w:t>房西苑</w:t>
      </w:r>
    </w:p>
    <w:p>
      <w:pPr>
        <w:spacing w:line="400" w:lineRule="exact"/>
        <w:ind w:right="105" w:rightChars="50" w:firstLine="945" w:firstLineChars="45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ascii="宋体" w:hAnsi="宋体" w:eastAsia="宋体" w:cs="宋体"/>
          <w:color w:val="333333"/>
          <w:kern w:val="0"/>
          <w:szCs w:val="21"/>
        </w:rPr>
        <w:t>著名国际投资融资顾问，清华紫光汇思通管理咨询公司首席</w:t>
      </w:r>
    </w:p>
    <w:p>
      <w:pPr>
        <w:spacing w:line="400" w:lineRule="exact"/>
        <w:ind w:right="105" w:rightChars="50" w:firstLine="945" w:firstLineChars="45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ascii="宋体" w:hAnsi="宋体" w:eastAsia="宋体" w:cs="宋体"/>
          <w:color w:val="333333"/>
          <w:kern w:val="0"/>
          <w:szCs w:val="21"/>
        </w:rPr>
        <w:t>咨询师，同时兼任北京大学国情研究中心研究员，北京大学</w:t>
      </w:r>
    </w:p>
    <w:p>
      <w:pPr>
        <w:spacing w:line="400" w:lineRule="exact"/>
        <w:ind w:right="105" w:rightChars="50" w:firstLine="945" w:firstLineChars="45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ascii="宋体" w:hAnsi="宋体" w:eastAsia="宋体" w:cs="宋体"/>
          <w:color w:val="333333"/>
          <w:kern w:val="0"/>
          <w:szCs w:val="21"/>
        </w:rPr>
        <w:t>兼职教授，清华大学兼职教授，中国科学院研究生院兼职教</w:t>
      </w:r>
    </w:p>
    <w:p>
      <w:pPr>
        <w:spacing w:line="400" w:lineRule="exact"/>
        <w:ind w:right="105" w:rightChars="50" w:firstLine="945" w:firstLineChars="45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ascii="宋体" w:hAnsi="宋体" w:eastAsia="宋体" w:cs="宋体"/>
          <w:color w:val="333333"/>
          <w:kern w:val="0"/>
          <w:szCs w:val="21"/>
        </w:rPr>
        <w:t>授，美国项目管理协会会员兼培训教授</w:t>
      </w:r>
    </w:p>
    <w:p>
      <w:pPr>
        <w:spacing w:line="400" w:lineRule="exact"/>
        <w:ind w:right="105" w:rightChars="50" w:firstLine="803" w:firstLineChars="250"/>
        <w:jc w:val="left"/>
        <w:rPr>
          <w:rFonts w:ascii="宋体" w:hAnsi="宋体" w:eastAsia="宋体" w:cs="宋体"/>
          <w:b/>
          <w:bCs/>
          <w:color w:val="333333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spacing w:line="276" w:lineRule="auto"/>
        <w:ind w:firstLine="0" w:firstLineChars="0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-315595</wp:posOffset>
            </wp:positionH>
            <wp:positionV relativeFrom="paragraph">
              <wp:posOffset>316865</wp:posOffset>
            </wp:positionV>
            <wp:extent cx="1398270" cy="1483995"/>
            <wp:effectExtent l="0" t="0" r="11430" b="1905"/>
            <wp:wrapSquare wrapText="bothSides"/>
            <wp:docPr id="30" name="图片 1" descr="https://ss0.bdstatic.com/70cFvHSh_Q1YnxGkpoWK1HF6hhy/it/u=2564235899,1816862243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https://ss0.bdstatic.com/70cFvHSh_Q1YnxGkpoWK1HF6hhy/it/u=2564235899,1816862243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sz w:val="32"/>
          <w:szCs w:val="32"/>
        </w:rPr>
        <w:t xml:space="preserve">      程海晋</w:t>
      </w:r>
    </w:p>
    <w:p>
      <w:pPr>
        <w:pStyle w:val="15"/>
        <w:autoSpaceDE w:val="0"/>
        <w:autoSpaceDN w:val="0"/>
        <w:adjustRightInd w:val="0"/>
        <w:spacing w:line="276" w:lineRule="auto"/>
        <w:ind w:firstLine="840" w:firstLineChars="400"/>
        <w:rPr>
          <w:rFonts w:ascii="宋体" w:hAnsi="宋体" w:cs="华文细黑"/>
          <w:kern w:val="0"/>
          <w:szCs w:val="21"/>
        </w:rPr>
      </w:pPr>
      <w:r>
        <w:rPr>
          <w:rFonts w:hint="eastAsia" w:ascii="宋体" w:hAnsi="宋体" w:eastAsia="宋体" w:cs="华文细黑"/>
          <w:kern w:val="0"/>
          <w:szCs w:val="21"/>
        </w:rPr>
        <w:t>出生近代上海金融世家，曾任</w:t>
      </w:r>
      <w:r>
        <w:rPr>
          <w:rFonts w:hint="eastAsia" w:ascii="宋体" w:hAnsi="宋体" w:cs="华文细黑"/>
          <w:kern w:val="0"/>
          <w:szCs w:val="21"/>
        </w:rPr>
        <w:t>通用电气（GE）业务发展与并</w:t>
      </w:r>
    </w:p>
    <w:p>
      <w:pPr>
        <w:pStyle w:val="15"/>
        <w:autoSpaceDE w:val="0"/>
        <w:autoSpaceDN w:val="0"/>
        <w:adjustRightInd w:val="0"/>
        <w:spacing w:line="276" w:lineRule="auto"/>
        <w:ind w:firstLine="840" w:firstLineChars="400"/>
        <w:rPr>
          <w:rFonts w:ascii="宋体" w:hAnsi="宋体" w:cs="华文细黑"/>
          <w:kern w:val="0"/>
          <w:szCs w:val="21"/>
        </w:rPr>
      </w:pPr>
      <w:r>
        <w:rPr>
          <w:rFonts w:hint="eastAsia" w:ascii="宋体" w:hAnsi="宋体" w:cs="华文细黑"/>
          <w:kern w:val="0"/>
          <w:szCs w:val="21"/>
        </w:rPr>
        <w:t>购部中国区总监，霍尼韦尔（Honeywell）业务拓展与并购部</w:t>
      </w:r>
    </w:p>
    <w:p>
      <w:pPr>
        <w:pStyle w:val="15"/>
        <w:autoSpaceDE w:val="0"/>
        <w:autoSpaceDN w:val="0"/>
        <w:adjustRightInd w:val="0"/>
        <w:spacing w:line="276" w:lineRule="auto"/>
        <w:ind w:firstLine="840" w:firstLineChars="400"/>
        <w:rPr>
          <w:rFonts w:ascii="宋体" w:hAnsi="宋体" w:cs="华文细黑"/>
          <w:kern w:val="0"/>
          <w:szCs w:val="21"/>
        </w:rPr>
      </w:pPr>
      <w:r>
        <w:rPr>
          <w:rFonts w:hint="eastAsia" w:ascii="宋体" w:hAnsi="宋体" w:cs="华文细黑"/>
          <w:kern w:val="0"/>
          <w:szCs w:val="21"/>
        </w:rPr>
        <w:t>亚太区总监，法国巴黎银行（BNP Paribas）投资银行部亚太</w:t>
      </w:r>
    </w:p>
    <w:p>
      <w:pPr>
        <w:pStyle w:val="15"/>
        <w:autoSpaceDE w:val="0"/>
        <w:autoSpaceDN w:val="0"/>
        <w:adjustRightInd w:val="0"/>
        <w:spacing w:line="276" w:lineRule="auto"/>
        <w:ind w:firstLine="840" w:firstLineChars="400"/>
        <w:rPr>
          <w:rFonts w:ascii="宋体" w:hAnsi="宋体" w:eastAsia="宋体" w:cs="华文细黑"/>
          <w:kern w:val="0"/>
          <w:szCs w:val="21"/>
        </w:rPr>
      </w:pPr>
      <w:r>
        <w:rPr>
          <w:rFonts w:hint="eastAsia" w:ascii="宋体" w:hAnsi="宋体" w:cs="华文细黑"/>
          <w:kern w:val="0"/>
          <w:szCs w:val="21"/>
        </w:rPr>
        <w:t>区高级经理，中银香港（BOCHK）稽核部高级主任，</w:t>
      </w:r>
      <w:r>
        <w:rPr>
          <w:rFonts w:hint="eastAsia" w:ascii="宋体" w:hAnsi="宋体" w:eastAsia="宋体" w:cs="华文细黑"/>
          <w:kern w:val="0"/>
          <w:szCs w:val="21"/>
        </w:rPr>
        <w:t>同时任清</w:t>
      </w:r>
    </w:p>
    <w:p>
      <w:pPr>
        <w:pStyle w:val="15"/>
        <w:autoSpaceDE w:val="0"/>
        <w:autoSpaceDN w:val="0"/>
        <w:adjustRightInd w:val="0"/>
        <w:spacing w:line="276" w:lineRule="auto"/>
        <w:ind w:firstLine="840" w:firstLineChars="400"/>
        <w:rPr>
          <w:rFonts w:ascii="宋体" w:hAnsi="宋体" w:eastAsia="宋体" w:cs="华文细黑"/>
          <w:kern w:val="0"/>
          <w:szCs w:val="21"/>
        </w:rPr>
      </w:pPr>
      <w:r>
        <w:rPr>
          <w:rFonts w:hint="eastAsia" w:ascii="宋体" w:hAnsi="宋体" w:eastAsia="宋体" w:cs="华文细黑"/>
          <w:kern w:val="0"/>
          <w:szCs w:val="21"/>
        </w:rPr>
        <w:t>华-澳洲麦考瑞大学应用金融硕士专业的客座教授、麦考瑞大</w:t>
      </w:r>
    </w:p>
    <w:p>
      <w:pPr>
        <w:pStyle w:val="15"/>
        <w:autoSpaceDE w:val="0"/>
        <w:autoSpaceDN w:val="0"/>
        <w:adjustRightInd w:val="0"/>
        <w:spacing w:line="276" w:lineRule="auto"/>
        <w:ind w:firstLine="840" w:firstLineChars="400"/>
        <w:rPr>
          <w:rFonts w:ascii="宋体" w:hAnsi="宋体" w:cs="华文细黑"/>
          <w:kern w:val="0"/>
          <w:szCs w:val="21"/>
        </w:rPr>
      </w:pPr>
      <w:r>
        <w:rPr>
          <w:rFonts w:hint="eastAsia" w:ascii="宋体" w:hAnsi="宋体" w:eastAsia="宋体" w:cs="华文细黑"/>
          <w:kern w:val="0"/>
          <w:szCs w:val="21"/>
        </w:rPr>
        <w:t>学商学院荣誉学者。</w:t>
      </w:r>
    </w:p>
    <w:p>
      <w:pPr>
        <w:spacing w:line="400" w:lineRule="exact"/>
        <w:ind w:left="525" w:leftChars="250"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6"/>
          <w:szCs w:val="36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6"/>
          <w:szCs w:val="36"/>
        </w:rPr>
      </w:pPr>
    </w:p>
    <w:p>
      <w:pPr>
        <w:spacing w:line="400" w:lineRule="exact"/>
        <w:ind w:firstLine="0" w:firstLineChars="0"/>
        <w:jc w:val="left"/>
        <w:rPr>
          <w:b/>
          <w:sz w:val="36"/>
          <w:szCs w:val="36"/>
        </w:rPr>
      </w:pPr>
    </w:p>
    <w:p>
      <w:pPr>
        <w:spacing w:line="400" w:lineRule="exact"/>
        <w:ind w:firstLine="803" w:firstLineChars="250"/>
        <w:jc w:val="left"/>
        <w:rPr>
          <w:rFonts w:ascii="宋体" w:hAnsi="宋体" w:eastAsia="宋体" w:cs="Times New Roman"/>
          <w:b/>
          <w:bCs/>
          <w:color w:val="7030A0"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41910</wp:posOffset>
            </wp:positionV>
            <wp:extent cx="1102995" cy="1315720"/>
            <wp:effectExtent l="0" t="0" r="1905" b="17780"/>
            <wp:wrapSquare wrapText="bothSides"/>
            <wp:docPr id="26" name="图片 3" descr="C:\Users\Administrator\Desktop\齐昊老师照片.png齐昊老师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Administrator\Desktop\齐昊老师照片.png齐昊老师照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2"/>
          <w:szCs w:val="32"/>
        </w:rPr>
        <w:t>齐 昊</w:t>
      </w:r>
    </w:p>
    <w:p>
      <w:pPr>
        <w:spacing w:line="360" w:lineRule="auto"/>
        <w:ind w:firstLine="720" w:firstLineChars="300"/>
        <w:contextualSpacing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曾就职于普华永道会计师事务所审计部（国际之一）</w:t>
      </w:r>
      <w:r>
        <w:rPr>
          <w:rFonts w:hint="eastAsia" w:asciiTheme="minorEastAsia" w:hAnsiTheme="minorEastAsia" w:cstheme="minorEastAsia"/>
          <w:sz w:val="24"/>
        </w:rPr>
        <w:t>，</w:t>
      </w:r>
      <w:r>
        <w:rPr>
          <w:rFonts w:hint="eastAsia" w:asciiTheme="minorEastAsia" w:hAnsiTheme="minorEastAsia" w:cstheme="minorEastAsia"/>
          <w:sz w:val="24"/>
          <w:szCs w:val="24"/>
        </w:rPr>
        <w:t>曾</w:t>
      </w:r>
    </w:p>
    <w:p>
      <w:pPr>
        <w:spacing w:line="360" w:lineRule="auto"/>
        <w:ind w:firstLine="720" w:firstLineChars="300"/>
        <w:contextualSpacing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任李嘉诚先生的和记黄埔联营机构TOM集团COC（香港</w:t>
      </w:r>
    </w:p>
    <w:p>
      <w:pPr>
        <w:spacing w:line="360" w:lineRule="auto"/>
        <w:ind w:firstLine="720" w:firstLineChars="300"/>
        <w:contextualSpacing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主板上市股票代码：2383）财务负责人</w:t>
      </w:r>
      <w:r>
        <w:rPr>
          <w:rFonts w:hint="eastAsia" w:asciiTheme="minorEastAsia" w:hAnsiTheme="minorEastAsia" w:cstheme="minorEastAsia"/>
          <w:sz w:val="24"/>
        </w:rPr>
        <w:t>；</w:t>
      </w:r>
      <w:r>
        <w:rPr>
          <w:rFonts w:hint="eastAsia" w:asciiTheme="minorEastAsia" w:hAnsiTheme="minorEastAsia" w:cstheme="minorEastAsia"/>
          <w:sz w:val="24"/>
          <w:szCs w:val="24"/>
        </w:rPr>
        <w:t>多家海内外上市</w:t>
      </w:r>
    </w:p>
    <w:p>
      <w:pPr>
        <w:spacing w:line="360" w:lineRule="auto"/>
        <w:ind w:firstLine="720" w:firstLineChars="300"/>
        <w:contextualSpacing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公司财务总监。 </w:t>
      </w:r>
    </w:p>
    <w:p>
      <w:pPr>
        <w:spacing w:line="360" w:lineRule="auto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326390</wp:posOffset>
            </wp:positionV>
            <wp:extent cx="1156335" cy="1322070"/>
            <wp:effectExtent l="0" t="0" r="5715" b="11430"/>
            <wp:wrapSquare wrapText="bothSides"/>
            <wp:docPr id="5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20"/>
        <w:jc w:val="left"/>
        <w:rPr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b/>
          <w:bCs/>
          <w:sz w:val="32"/>
          <w:szCs w:val="32"/>
        </w:rPr>
        <w:t>刘 胜</w:t>
      </w:r>
    </w:p>
    <w:p>
      <w:pPr>
        <w:ind w:right="105" w:rightChars="50" w:firstLine="880" w:firstLineChars="400"/>
        <w:rPr>
          <w:sz w:val="22"/>
        </w:rPr>
      </w:pPr>
      <w:r>
        <w:rPr>
          <w:rFonts w:hint="eastAsia"/>
          <w:sz w:val="22"/>
        </w:rPr>
        <w:t>中科招商基金原投资总监、总助，曾任汉富控股有限公司副</w:t>
      </w:r>
    </w:p>
    <w:p>
      <w:pPr>
        <w:ind w:right="105" w:rightChars="50" w:firstLine="880" w:firstLineChars="400"/>
        <w:rPr>
          <w:sz w:val="22"/>
        </w:rPr>
      </w:pPr>
      <w:r>
        <w:rPr>
          <w:rFonts w:hint="eastAsia"/>
          <w:sz w:val="22"/>
        </w:rPr>
        <w:t>总裁，现任云胜投资总经理。</w:t>
      </w:r>
    </w:p>
    <w:p>
      <w:pPr>
        <w:spacing w:line="500" w:lineRule="exact"/>
        <w:ind w:right="105" w:rightChars="50" w:firstLine="0" w:firstLineChars="0"/>
        <w:contextualSpacing/>
        <w:jc w:val="left"/>
        <w:rPr>
          <w:rFonts w:ascii="微软雅黑" w:hAnsi="微软雅黑" w:eastAsia="微软雅黑" w:cs="微软雅黑"/>
          <w:sz w:val="24"/>
        </w:rPr>
      </w:pPr>
    </w:p>
    <w:p>
      <w:pPr>
        <w:spacing w:line="500" w:lineRule="exact"/>
        <w:ind w:firstLineChars="0"/>
        <w:contextualSpacing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500" w:lineRule="exact"/>
        <w:ind w:firstLine="803" w:firstLineChars="250"/>
        <w:contextualSpacing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28575</wp:posOffset>
            </wp:positionV>
            <wp:extent cx="1179195" cy="1419225"/>
            <wp:effectExtent l="0" t="0" r="1905" b="9525"/>
            <wp:wrapSquare wrapText="bothSides"/>
            <wp:docPr id="563" name="图片 563" descr="C:\Users\wm\AppData\Local\Temp\WeChat Files\331395342546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C:\Users\wm\AppData\Local\Temp\WeChat Files\331395342546070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869" b="3224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任爱民</w:t>
      </w:r>
    </w:p>
    <w:p>
      <w:pPr>
        <w:spacing w:line="400" w:lineRule="exact"/>
        <w:ind w:firstLine="960" w:firstLineChars="400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毕马威企业咨询（中国）有限公司合伙人，主管中国区</w:t>
      </w:r>
    </w:p>
    <w:p>
      <w:pPr>
        <w:spacing w:line="400" w:lineRule="exact"/>
        <w:ind w:firstLine="960" w:firstLineChars="400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战 略澄清和组织转型业务，为企业提供从战略澄清、组</w:t>
      </w:r>
    </w:p>
    <w:p>
      <w:pPr>
        <w:spacing w:line="400" w:lineRule="exact"/>
        <w:ind w:firstLine="960" w:firstLineChars="400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织结构设计、业务流程优化到人力资源管理提升的一体</w:t>
      </w:r>
    </w:p>
    <w:p>
      <w:pPr>
        <w:spacing w:line="400" w:lineRule="exact"/>
        <w:ind w:firstLine="960" w:firstLineChars="400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化增值服务。</w:t>
      </w: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sz w:val="24"/>
          <w:szCs w:val="24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184150</wp:posOffset>
            </wp:positionV>
            <wp:extent cx="1354455" cy="1527175"/>
            <wp:effectExtent l="0" t="0" r="17145" b="15875"/>
            <wp:wrapSquare wrapText="bothSides"/>
            <wp:docPr id="554" name="图片 562" descr="C:\Users\wm\AppData\Local\Temp\WeChat Files\33109474869587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62" descr="C:\Users\wm\AppData\Local\Temp\WeChat Files\33109474869587054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0" w:firstLineChars="0"/>
        <w:jc w:val="left"/>
        <w:rPr>
          <w:rFonts w:ascii="微软雅黑" w:hAnsi="微软雅黑" w:eastAsia="微软雅黑" w:cs="微软雅黑"/>
          <w:b/>
          <w:color w:val="262626" w:themeColor="text1" w:themeTint="D9"/>
          <w:sz w:val="32"/>
          <w:szCs w:val="3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 xml:space="preserve">     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王 雷</w:t>
      </w:r>
    </w:p>
    <w:p>
      <w:pPr>
        <w:spacing w:line="400" w:lineRule="exact"/>
        <w:ind w:firstLine="840" w:firstLineChars="400"/>
        <w:rPr>
          <w:rFonts w:asciiTheme="minorEastAsia" w:hAnsiTheme="minorEastAsia" w:cstheme="minorEastAsia"/>
          <w:color w:val="262626" w:themeColor="text1" w:themeTint="D9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262626" w:themeColor="text1" w:themeTint="D9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新时代企业产品战略导师</w:t>
      </w:r>
      <w:r>
        <w:rPr>
          <w:rFonts w:hint="eastAsia" w:asciiTheme="minorEastAsia" w:hAnsiTheme="minorEastAsia" w:cstheme="minorEastAsia"/>
          <w:color w:val="7030A0"/>
          <w:sz w:val="30"/>
          <w:szCs w:val="30"/>
        </w:rPr>
        <w:t>，</w:t>
      </w:r>
      <w:r>
        <w:rPr>
          <w:rFonts w:hint="eastAsia" w:asciiTheme="minorEastAsia" w:hAnsiTheme="minorEastAsia" w:cstheme="minorEastAsia"/>
          <w:color w:val="262626" w:themeColor="text1" w:themeTint="D9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曾任新浪网第一任产品总监，初</w:t>
      </w:r>
    </w:p>
    <w:p>
      <w:pPr>
        <w:spacing w:line="400" w:lineRule="exact"/>
        <w:ind w:firstLine="840" w:firstLineChars="400"/>
        <w:rPr>
          <w:rFonts w:asciiTheme="minorEastAsia" w:hAnsiTheme="minorEastAsia" w:cstheme="minorEastAsia"/>
          <w:color w:val="262626" w:themeColor="text1" w:themeTint="D9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262626" w:themeColor="text1" w:themeTint="D9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创团队核心成员，决胜教育集团（代码：836544）总裁，21</w:t>
      </w:r>
    </w:p>
    <w:p>
      <w:pPr>
        <w:spacing w:line="400" w:lineRule="exact"/>
        <w:ind w:firstLine="840" w:firstLineChars="400"/>
        <w:rPr>
          <w:rFonts w:asciiTheme="minorEastAsia" w:hAnsiTheme="minorEastAsia" w:cstheme="minorEastAsia"/>
          <w:color w:val="262626" w:themeColor="text1" w:themeTint="D9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262626" w:themeColor="text1" w:themeTint="D9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世纪不动产集团（美国纽交所上市）、赶集网、百合网、点击</w:t>
      </w:r>
    </w:p>
    <w:p>
      <w:pPr>
        <w:spacing w:line="400" w:lineRule="exact"/>
        <w:ind w:firstLine="840" w:firstLineChars="400"/>
        <w:rPr>
          <w:rFonts w:asciiTheme="minorEastAsia" w:hAnsiTheme="minorEastAsia" w:cstheme="minorEastAsia"/>
          <w:color w:val="262626" w:themeColor="text1" w:themeTint="D9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262626" w:themeColor="text1" w:themeTint="D9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科公司副总裁，独立投资人</w:t>
      </w:r>
    </w:p>
    <w:p>
      <w:pPr>
        <w:widowControl/>
        <w:shd w:val="clear" w:color="auto" w:fill="FFFFFF"/>
        <w:ind w:firstLine="0" w:firstLineChars="0"/>
        <w:jc w:val="left"/>
        <w:rPr>
          <w:rFonts w:asciiTheme="minorEastAsia" w:hAnsiTheme="minorEastAsia" w:cstheme="minorEastAsia"/>
          <w:color w:val="3E3E3E"/>
          <w:kern w:val="0"/>
          <w:sz w:val="28"/>
          <w:szCs w:val="28"/>
        </w:rPr>
      </w:pPr>
    </w:p>
    <w:p>
      <w:pPr>
        <w:widowControl/>
        <w:ind w:firstLine="643"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74295</wp:posOffset>
            </wp:positionV>
            <wp:extent cx="1346200" cy="1534795"/>
            <wp:effectExtent l="0" t="0" r="6350" b="8255"/>
            <wp:wrapSquare wrapText="bothSides"/>
            <wp:docPr id="550" name="图片 3" descr="钱栋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3" descr="钱栋玉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 xml:space="preserve">   钱栋玉</w:t>
      </w:r>
    </w:p>
    <w:p>
      <w:pPr>
        <w:ind w:right="105" w:rightChars="50" w:firstLine="1050" w:firstLineChars="5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企业转型升级系统（CTU-Model）创始人，A股金轮股份</w:t>
      </w:r>
    </w:p>
    <w:p>
      <w:pPr>
        <w:ind w:right="105" w:rightChars="50" w:firstLine="1050" w:firstLineChars="5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（002722） 原执行总裁曾任搜布等多家B2B互联网百强公</w:t>
      </w:r>
    </w:p>
    <w:p>
      <w:pPr>
        <w:ind w:right="105" w:rightChars="50" w:firstLine="1050" w:firstLineChars="50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/>
          <w:szCs w:val="21"/>
        </w:rPr>
        <w:t>司董事、英伦家纺Sanfond公司董事总经理。</w:t>
      </w:r>
    </w:p>
    <w:p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hAnsi="微软雅黑" w:eastAsia="微软雅黑" w:cs="宋体"/>
          <w:b/>
          <w:bCs/>
          <w:color w:val="000000"/>
          <w:kern w:val="0"/>
          <w:sz w:val="27"/>
        </w:rPr>
      </w:pPr>
    </w:p>
    <w:p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7"/>
        </w:rPr>
        <w:t>课程收获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明晰国内金融体系，洞悉资本的底层逻辑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全方位解读资本市场，优化融资体系，锁定投资机遇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把握最新金融科技及金融工具，推动产融结合实践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掌握新商业时代的企业模式、商业战略和公司治理结构</w:t>
      </w: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 xml:space="preserve">【投行资源】  </w:t>
      </w: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/>
          <w:bCs/>
          <w:color w:val="7030A0"/>
          <w:sz w:val="28"/>
          <w:szCs w:val="28"/>
        </w:rPr>
      </w:pPr>
      <w:r>
        <w:rPr>
          <w:rFonts w:hint="eastAsia" w:ascii="宋体" w:hAnsi="宋体" w:eastAsia="宋体" w:cs="Times New Roman"/>
          <w:color w:val="7030A0"/>
          <w:sz w:val="28"/>
          <w:szCs w:val="28"/>
        </w:rPr>
        <w:t>红杉资本、鼎晖投资、</w:t>
      </w:r>
      <w:r>
        <w:rPr>
          <w:rFonts w:ascii="宋体" w:hAnsi="宋体" w:eastAsia="宋体" w:cs="Times New Roman"/>
          <w:color w:val="7030A0"/>
          <w:sz w:val="28"/>
          <w:szCs w:val="28"/>
        </w:rPr>
        <w:t>IDG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资本、中金、</w:t>
      </w:r>
      <w:r>
        <w:rPr>
          <w:rFonts w:ascii="宋体" w:hAnsi="宋体" w:eastAsia="宋体" w:cs="Times New Roman"/>
          <w:color w:val="7030A0"/>
          <w:sz w:val="28"/>
          <w:szCs w:val="28"/>
        </w:rPr>
        <w:t>九鼎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投资、清科创投、</w:t>
      </w:r>
      <w:r>
        <w:rPr>
          <w:rFonts w:ascii="宋体" w:hAnsi="宋体" w:eastAsia="宋体" w:cs="Times New Roman"/>
          <w:color w:val="7030A0"/>
          <w:sz w:val="28"/>
          <w:szCs w:val="28"/>
        </w:rPr>
        <w:t>中科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招商、黑马创投、</w:t>
      </w:r>
      <w:r>
        <w:rPr>
          <w:rFonts w:ascii="宋体" w:hAnsi="宋体" w:eastAsia="宋体" w:cs="Times New Roman"/>
          <w:color w:val="7030A0"/>
          <w:sz w:val="28"/>
          <w:szCs w:val="28"/>
        </w:rPr>
        <w:t>中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融</w:t>
      </w:r>
      <w:r>
        <w:rPr>
          <w:rFonts w:ascii="宋体" w:hAnsi="宋体" w:eastAsia="宋体" w:cs="Times New Roman"/>
          <w:color w:val="7030A0"/>
          <w:sz w:val="28"/>
          <w:szCs w:val="28"/>
        </w:rPr>
        <w:t>国际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、中植集团</w:t>
      </w:r>
      <w:r>
        <w:rPr>
          <w:rFonts w:hint="eastAsia" w:ascii="宋体" w:hAnsi="宋体" w:eastAsia="宋体" w:cs="Times New Roman"/>
          <w:bCs/>
          <w:color w:val="7030A0"/>
          <w:sz w:val="28"/>
          <w:szCs w:val="28"/>
        </w:rPr>
        <w:t>、中金集团、中融集团、天星资本、宏时资本、京北金融、招商证券、中信证券、西部证券、中信建投、国泰君安、中国投资协会等。</w:t>
      </w:r>
    </w:p>
    <w:p>
      <w:pPr>
        <w:widowControl/>
        <w:spacing w:before="100" w:beforeAutospacing="1" w:after="100" w:afterAutospacing="1" w:line="400" w:lineRule="exact"/>
        <w:ind w:firstLine="0" w:firstLineChars="0"/>
        <w:rPr>
          <w:rFonts w:ascii="宋体" w:hAnsi="宋体" w:eastAsia="宋体" w:cs="Times New Roman"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【参加对象】</w:t>
      </w:r>
      <w:r>
        <w:rPr>
          <w:rFonts w:hint="eastAsia" w:ascii="宋体" w:hAnsi="宋体" w:eastAsia="宋体" w:cs="Times New Roman"/>
          <w:bCs/>
          <w:color w:val="7030A0"/>
          <w:sz w:val="30"/>
          <w:szCs w:val="30"/>
        </w:rPr>
        <w:t xml:space="preserve">  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/>
        </w:rPr>
        <w:t>致力于实现企业资本价值的企业家。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有融资需求的企业董事长、总经理、资本运营负责人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拟上市企业董事长、总经理、资本运营负责人</w:t>
      </w:r>
    </w:p>
    <w:p>
      <w:pPr>
        <w:pStyle w:val="15"/>
        <w:numPr>
          <w:ilvl w:val="0"/>
          <w:numId w:val="5"/>
        </w:numPr>
        <w:ind w:left="647" w:firstLineChars="0"/>
      </w:pPr>
      <w:r>
        <w:rPr>
          <w:rFonts w:hint="eastAsia" w:ascii="Calibri" w:hAnsi="Calibri" w:eastAsia="宋体" w:cs="Times New Roman"/>
        </w:rPr>
        <w:t>实业家转型投资家的企业家</w:t>
      </w: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【学制学费】</w:t>
      </w:r>
    </w:p>
    <w:p>
      <w:pPr>
        <w:autoSpaceDE w:val="0"/>
        <w:autoSpaceDN w:val="0"/>
        <w:adjustRightInd w:val="0"/>
        <w:spacing w:line="400" w:lineRule="exact"/>
        <w:ind w:left="420" w:leftChars="200"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sz w:val="28"/>
          <w:szCs w:val="28"/>
        </w:rPr>
        <w:t>学制</w:t>
      </w:r>
      <w:r>
        <w:rPr>
          <w:rFonts w:hint="eastAsia" w:ascii="宋体" w:hAnsi="宋体"/>
          <w:sz w:val="28"/>
          <w:szCs w:val="28"/>
        </w:rPr>
        <w:t>两年</w:t>
      </w:r>
      <w:r>
        <w:rPr>
          <w:rFonts w:hint="eastAsia" w:ascii="宋体" w:hAnsi="宋体" w:eastAsia="宋体" w:cs="Times New Roman"/>
          <w:sz w:val="28"/>
          <w:szCs w:val="28"/>
        </w:rPr>
        <w:t>，每两个月集中授课2-3天</w:t>
      </w:r>
    </w:p>
    <w:p>
      <w:pPr>
        <w:autoSpaceDE w:val="0"/>
        <w:autoSpaceDN w:val="0"/>
        <w:adjustRightInd w:val="0"/>
        <w:spacing w:line="400" w:lineRule="exact"/>
        <w:ind w:left="420" w:leftChars="200" w:right="420" w:rightChars="200" w:firstLine="0" w:firstLineChars="0"/>
      </w:pPr>
      <w:r>
        <w:rPr>
          <w:rFonts w:hint="eastAsia" w:ascii="宋体" w:hAnsi="宋体" w:eastAsia="宋体" w:cs="Times New Roman"/>
          <w:bCs/>
          <w:sz w:val="28"/>
          <w:szCs w:val="28"/>
        </w:rPr>
        <w:t>学费：16.8万元/人，清华校友及老学员推荐</w:t>
      </w:r>
      <w:r>
        <w:rPr>
          <w:rFonts w:hint="eastAsia" w:ascii="宋体" w:hAnsi="宋体"/>
          <w:bCs/>
          <w:sz w:val="28"/>
          <w:szCs w:val="28"/>
        </w:rPr>
        <w:t>9</w:t>
      </w:r>
      <w:r>
        <w:rPr>
          <w:rFonts w:hint="eastAsia" w:ascii="宋体" w:hAnsi="宋体" w:eastAsia="宋体" w:cs="Times New Roman"/>
          <w:bCs/>
          <w:color w:val="000000"/>
          <w:sz w:val="28"/>
          <w:szCs w:val="28"/>
        </w:rPr>
        <w:t xml:space="preserve">.8万元/人 </w:t>
      </w:r>
      <w:r>
        <w:rPr>
          <w:rFonts w:hint="eastAsia" w:ascii="宋体" w:hAnsi="宋体" w:eastAsia="宋体" w:cs="Times New Roman"/>
          <w:b/>
          <w:bCs/>
          <w:color w:val="000000"/>
          <w:sz w:val="28"/>
          <w:szCs w:val="28"/>
        </w:rPr>
        <w:t>，</w:t>
      </w:r>
      <w:r>
        <w:rPr>
          <w:rFonts w:hint="eastAsia" w:ascii="宋体" w:hAnsi="宋体" w:eastAsia="宋体" w:cs="Times New Roman"/>
          <w:bCs/>
          <w:color w:val="000000"/>
          <w:sz w:val="28"/>
          <w:szCs w:val="28"/>
        </w:rPr>
        <w:t>餐费住宿费游学费用自理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大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480"/>
      <w:rPr>
        <w:rFonts w:ascii="方正大标宋简体" w:eastAsia="方正大标宋简体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0" w:firstLineChars="0"/>
      <w:jc w:val="left"/>
    </w:pPr>
    <w:r>
      <w:rPr>
        <w:rStyle w:val="9"/>
        <w:rFonts w:hint="eastAsia" w:ascii="微软雅黑" w:hAnsi="微软雅黑" w:eastAsia="微软雅黑"/>
        <w:caps/>
        <w:color w:val="333333"/>
        <w:sz w:val="20"/>
        <w:szCs w:val="20"/>
      </w:rPr>
      <w:t xml:space="preserve">                                 资本赋能未来，实战成就领袖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Restart w:val="0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Restart w:val="0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Restart w:val="0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Restart w:val="0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Restart w:val="0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Restart w:val="0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Restart w:val="0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Restart w:val="0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0000008"/>
    <w:multiLevelType w:val="multilevel"/>
    <w:tmpl w:val="000000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000000D"/>
    <w:multiLevelType w:val="multilevel"/>
    <w:tmpl w:val="0000000D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 w:eastAsia="宋体" w:cs="宋体"/>
        <w:sz w:val="24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5361D8F"/>
    <w:multiLevelType w:val="multilevel"/>
    <w:tmpl w:val="35361D8F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606C59B0"/>
    <w:multiLevelType w:val="multilevel"/>
    <w:tmpl w:val="606C59B0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24"/>
    <w:rsid w:val="00010F15"/>
    <w:rsid w:val="000310F3"/>
    <w:rsid w:val="00033361"/>
    <w:rsid w:val="00064155"/>
    <w:rsid w:val="00077DEB"/>
    <w:rsid w:val="0009351B"/>
    <w:rsid w:val="000B34EA"/>
    <w:rsid w:val="000B39CC"/>
    <w:rsid w:val="000E0DE4"/>
    <w:rsid w:val="000F5D36"/>
    <w:rsid w:val="00121902"/>
    <w:rsid w:val="0014754F"/>
    <w:rsid w:val="00163335"/>
    <w:rsid w:val="0017649D"/>
    <w:rsid w:val="001802D8"/>
    <w:rsid w:val="00181AE6"/>
    <w:rsid w:val="00187EA1"/>
    <w:rsid w:val="001B3D37"/>
    <w:rsid w:val="001D1E65"/>
    <w:rsid w:val="001E0A3D"/>
    <w:rsid w:val="00200059"/>
    <w:rsid w:val="0020625D"/>
    <w:rsid w:val="002553EE"/>
    <w:rsid w:val="002628CF"/>
    <w:rsid w:val="002970B3"/>
    <w:rsid w:val="002B0404"/>
    <w:rsid w:val="002D49D1"/>
    <w:rsid w:val="003002AF"/>
    <w:rsid w:val="003075DB"/>
    <w:rsid w:val="003323E6"/>
    <w:rsid w:val="00381388"/>
    <w:rsid w:val="00391791"/>
    <w:rsid w:val="003B6B00"/>
    <w:rsid w:val="003D17CC"/>
    <w:rsid w:val="004830EA"/>
    <w:rsid w:val="004A3718"/>
    <w:rsid w:val="004F4F55"/>
    <w:rsid w:val="00514316"/>
    <w:rsid w:val="00530037"/>
    <w:rsid w:val="00556478"/>
    <w:rsid w:val="005A57B0"/>
    <w:rsid w:val="005C3B3A"/>
    <w:rsid w:val="005E2000"/>
    <w:rsid w:val="005F6D8A"/>
    <w:rsid w:val="006047DD"/>
    <w:rsid w:val="006255F6"/>
    <w:rsid w:val="00666C0A"/>
    <w:rsid w:val="00684F66"/>
    <w:rsid w:val="0070317C"/>
    <w:rsid w:val="00705DFD"/>
    <w:rsid w:val="00707172"/>
    <w:rsid w:val="00721D0C"/>
    <w:rsid w:val="00752E0C"/>
    <w:rsid w:val="00754F58"/>
    <w:rsid w:val="00784F74"/>
    <w:rsid w:val="007A11BE"/>
    <w:rsid w:val="007C0566"/>
    <w:rsid w:val="007D0F37"/>
    <w:rsid w:val="007E7206"/>
    <w:rsid w:val="0086119E"/>
    <w:rsid w:val="00866E51"/>
    <w:rsid w:val="00876214"/>
    <w:rsid w:val="008A77E0"/>
    <w:rsid w:val="00920D0D"/>
    <w:rsid w:val="009431C9"/>
    <w:rsid w:val="00954176"/>
    <w:rsid w:val="00964319"/>
    <w:rsid w:val="00974C5B"/>
    <w:rsid w:val="009B3EE8"/>
    <w:rsid w:val="009D2AF7"/>
    <w:rsid w:val="009E2F64"/>
    <w:rsid w:val="009E7AD9"/>
    <w:rsid w:val="00A108C7"/>
    <w:rsid w:val="00A21060"/>
    <w:rsid w:val="00A556C1"/>
    <w:rsid w:val="00A56344"/>
    <w:rsid w:val="00A85F9D"/>
    <w:rsid w:val="00AB257E"/>
    <w:rsid w:val="00AB5524"/>
    <w:rsid w:val="00B050B9"/>
    <w:rsid w:val="00B44746"/>
    <w:rsid w:val="00B72B70"/>
    <w:rsid w:val="00B75A0B"/>
    <w:rsid w:val="00B91FAA"/>
    <w:rsid w:val="00BB463E"/>
    <w:rsid w:val="00BE731D"/>
    <w:rsid w:val="00BF611D"/>
    <w:rsid w:val="00C91209"/>
    <w:rsid w:val="00CA5E91"/>
    <w:rsid w:val="00CA671E"/>
    <w:rsid w:val="00CB2A18"/>
    <w:rsid w:val="00CD35D6"/>
    <w:rsid w:val="00D059E0"/>
    <w:rsid w:val="00D259CC"/>
    <w:rsid w:val="00D368CF"/>
    <w:rsid w:val="00D41549"/>
    <w:rsid w:val="00D622E7"/>
    <w:rsid w:val="00D62594"/>
    <w:rsid w:val="00DA6D8C"/>
    <w:rsid w:val="00DD26EE"/>
    <w:rsid w:val="00E258ED"/>
    <w:rsid w:val="00E37960"/>
    <w:rsid w:val="00E50EC8"/>
    <w:rsid w:val="00E63FE1"/>
    <w:rsid w:val="00E80EEC"/>
    <w:rsid w:val="00EE62C9"/>
    <w:rsid w:val="00EE774B"/>
    <w:rsid w:val="00F00099"/>
    <w:rsid w:val="00F00E3F"/>
    <w:rsid w:val="00F32FE7"/>
    <w:rsid w:val="00F4594C"/>
    <w:rsid w:val="00F75674"/>
    <w:rsid w:val="00FC0744"/>
    <w:rsid w:val="00FC62F8"/>
    <w:rsid w:val="00FD0156"/>
    <w:rsid w:val="025D3A42"/>
    <w:rsid w:val="0C496199"/>
    <w:rsid w:val="0EFA5401"/>
    <w:rsid w:val="11721A67"/>
    <w:rsid w:val="124A78CA"/>
    <w:rsid w:val="125B28A8"/>
    <w:rsid w:val="18F95B7F"/>
    <w:rsid w:val="1B17483F"/>
    <w:rsid w:val="1D720A31"/>
    <w:rsid w:val="1EB41E3A"/>
    <w:rsid w:val="1F1D783A"/>
    <w:rsid w:val="214B295C"/>
    <w:rsid w:val="21A7342C"/>
    <w:rsid w:val="28B31A56"/>
    <w:rsid w:val="2904048C"/>
    <w:rsid w:val="2A427BC5"/>
    <w:rsid w:val="2CCB0140"/>
    <w:rsid w:val="3129771D"/>
    <w:rsid w:val="35D02239"/>
    <w:rsid w:val="38A76DD3"/>
    <w:rsid w:val="3E8F1136"/>
    <w:rsid w:val="417266A4"/>
    <w:rsid w:val="41B30199"/>
    <w:rsid w:val="43743A87"/>
    <w:rsid w:val="4D646CC1"/>
    <w:rsid w:val="5135406B"/>
    <w:rsid w:val="5C657530"/>
    <w:rsid w:val="5E747856"/>
    <w:rsid w:val="76C67DAE"/>
    <w:rsid w:val="76ED09F7"/>
    <w:rsid w:val="79567EEC"/>
    <w:rsid w:val="7E76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link w:val="1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Times New Roman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普通(网站) Char"/>
    <w:link w:val="5"/>
    <w:qFormat/>
    <w:uiPriority w:val="99"/>
    <w:rPr>
      <w:rFonts w:ascii="宋体" w:hAnsi="宋体" w:eastAsia="宋体" w:cs="Times New Roman"/>
      <w:kern w:val="0"/>
      <w:sz w:val="24"/>
      <w:szCs w:val="24"/>
    </w:rPr>
  </w:style>
  <w:style w:type="paragraph" w:customStyle="1" w:styleId="12">
    <w:name w:val="列出段落1"/>
    <w:basedOn w:val="1"/>
    <w:qFormat/>
    <w:uiPriority w:val="34"/>
    <w:pPr>
      <w:spacing w:line="240" w:lineRule="auto"/>
      <w:ind w:firstLine="420"/>
    </w:pPr>
    <w:rPr>
      <w:rFonts w:ascii="Calibri" w:hAnsi="Calibri" w:eastAsia="宋体" w:cs="Times New Roman"/>
    </w:rPr>
  </w:style>
  <w:style w:type="character" w:customStyle="1" w:styleId="13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3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/>
    </w:pPr>
  </w:style>
  <w:style w:type="character" w:customStyle="1" w:styleId="16">
    <w:name w:val="fl"/>
    <w:basedOn w:val="8"/>
    <w:qFormat/>
    <w:uiPriority w:val="0"/>
  </w:style>
  <w:style w:type="paragraph" w:customStyle="1" w:styleId="17">
    <w:name w:val="bus_a_heidian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1A1862-37CF-4843-A545-AA4C8ABE22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</Pages>
  <Words>710</Words>
  <Characters>4053</Characters>
  <Lines>33</Lines>
  <Paragraphs>9</Paragraphs>
  <TotalTime>45</TotalTime>
  <ScaleCrop>false</ScaleCrop>
  <LinksUpToDate>false</LinksUpToDate>
  <CharactersWithSpaces>4754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2019-09-11T08:31:00Z</dcterms:created>
  <dc:creator>wm</dc:creator>
  <cp:lastModifiedBy>远近互联-秦</cp:lastModifiedBy>
  <dcterms:modified xsi:type="dcterms:W3CDTF">2019-09-17T08:08:29Z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