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1884680</wp:posOffset>
            </wp:positionH>
            <wp:positionV relativeFrom="paragraph">
              <wp:posOffset>-798830</wp:posOffset>
            </wp:positionV>
            <wp:extent cx="1856105" cy="1149985"/>
            <wp:effectExtent l="0" t="0" r="0" b="0"/>
            <wp:wrapNone/>
            <wp:docPr id="1" name="图片 1" descr="微信图片_20181010152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10101528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微软雅黑" w:hAnsi="微软雅黑" w:eastAsia="微软雅黑"/>
          <w:b/>
          <w:sz w:val="48"/>
          <w:szCs w:val="48"/>
        </w:rPr>
      </w:pPr>
      <w:r>
        <w:rPr>
          <w:rFonts w:hint="eastAsia" w:ascii="微软雅黑" w:hAnsi="微软雅黑" w:eastAsia="微软雅黑"/>
          <w:b/>
          <w:sz w:val="48"/>
          <w:szCs w:val="48"/>
        </w:rPr>
        <w:t>生产管理与智能制造高级研修班</w:t>
      </w:r>
    </w:p>
    <w:p>
      <w:pPr>
        <w:rPr>
          <w:rFonts w:ascii="微软雅黑" w:hAnsi="微软雅黑" w:eastAsia="微软雅黑"/>
          <w:b/>
          <w:color w:val="C0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00000"/>
          <w:sz w:val="24"/>
          <w:szCs w:val="24"/>
        </w:rPr>
        <w:t>【项目简介】</w:t>
      </w:r>
    </w:p>
    <w:p>
      <w:pPr>
        <w:spacing w:line="54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赢得生产，就赢得市场。</w:t>
      </w:r>
    </w:p>
    <w:p>
      <w:pPr>
        <w:spacing w:line="54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在全球化市场激烈竞争压力的围攻之下，特别是“新冠疫情”全球蔓延的背景下，中国制造业面临着严峻的考验。国际上，美国、德国等发达国家通过“工业互联网”、“工业4.0”等战略加快了“再工业化”进程，重塑制造业竞争新优势；一些发展中国家也在加快参与全球产业再分工，利用资源、成本等比较优势开拓市场，形成对我国制造业的“双向挤压”。在国内，我国经济发展进入新常态，资源环境约束不断强化，生产要素成本不断上升，制造业原有的发展模式难以为继。</w:t>
      </w:r>
    </w:p>
    <w:p>
      <w:pPr>
        <w:spacing w:line="54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我国发布“中国制造2025”战略，以推进智能制造为主攻方向，促进制造业的转型升级、提质增效和创新发展，为广大制造企业应对严峻的内外部环境挑战、推动自身健康发展指出了方向。智能制造的实施应用，即是先进技术系统的建构过程，也是企业生产管理的改进过程，具有复合性、复杂性和探索性，如果没有正确的认识、尚未掌握科学的方法，容易出现效果不理想、投资收益低等情况，甚至造成企业负担。</w:t>
      </w:r>
    </w:p>
    <w:p>
      <w:pPr>
        <w:spacing w:line="54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“生产管理与智能制造高级研修班”将卓越生产的管理体系与智能制造的先进技术有机结合起来，一方面促进企业管理改善，将企业决策层的理念和意图落实到生产实践中去，策划推动业务运营战略、流程与计划的改进，打造高效的企业价值链，同时建立合理、规范的运行流程，奠定实施智能制造的管理基础；另一方面，帮助企业实施智能制造，科学应用物联网、大数据、云计算、人工智能等智能制造先进技术，促进需求发掘、产品设计、工艺规划、生产执行、过程监督、数据采集、质量管控、物流仓储、远程运维等环节的提升和增值。</w:t>
      </w:r>
    </w:p>
    <w:p>
      <w:pPr>
        <w:spacing w:line="540" w:lineRule="exact"/>
        <w:rPr>
          <w:rFonts w:ascii="微软雅黑" w:hAnsi="微软雅黑" w:eastAsia="微软雅黑"/>
          <w:b/>
          <w:color w:val="C0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00000"/>
          <w:sz w:val="24"/>
          <w:szCs w:val="24"/>
        </w:rPr>
        <w:t>【学习收益】</w:t>
      </w:r>
    </w:p>
    <w:p>
      <w:pPr>
        <w:spacing w:line="54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通过对该课程全面而系统的学习，了解最新生产管理模式和智能制造体系，找到变革、改进自己企业的方式、方法，有效实现企业的战略目标。</w:t>
      </w:r>
    </w:p>
    <w:p>
      <w:pPr>
        <w:rPr>
          <w:rFonts w:ascii="微软雅黑" w:hAnsi="微软雅黑" w:eastAsia="微软雅黑"/>
          <w:b/>
          <w:color w:val="C0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00000"/>
          <w:sz w:val="24"/>
          <w:szCs w:val="24"/>
        </w:rPr>
        <w:t>【课程设置】</w:t>
      </w:r>
    </w:p>
    <w:tbl>
      <w:tblPr>
        <w:tblStyle w:val="5"/>
        <w:tblW w:w="90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57"/>
        <w:gridCol w:w="46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000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8"/>
                <w:szCs w:val="28"/>
              </w:rPr>
              <w:t>生产管理篇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互联网时代的物流与供应链管理</w:t>
            </w:r>
          </w:p>
        </w:tc>
        <w:tc>
          <w:tcPr>
            <w:tcW w:w="4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精益生产管理实战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物流设施规划与物流分析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预测与库存控制</w:t>
            </w:r>
          </w:p>
          <w:p>
            <w:pPr>
              <w:widowControl/>
              <w:spacing w:line="480" w:lineRule="exact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供应商库存管理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制造业物流系统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精益精益生产推行方法和步骤</w:t>
            </w:r>
          </w:p>
          <w:p>
            <w:pPr>
              <w:widowControl/>
              <w:spacing w:line="480" w:lineRule="exact"/>
              <w:ind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五项五项原则与八大浪费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看板管理与现场改善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单元生产原理、方法与要点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信息化时代的全面成本管理TCM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质量工程与全面质量管理TQM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3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价值链体系与分析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成本控制技术的革新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产品成本的设计管理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TCM推行与实施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质量战略与企业竞争力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零缺陷管理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质量管理发展的新趋势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精益六西格玛质量管理与改善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全面生产维护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现代安全生产管理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1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TPM改变企业经营体制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设备综合效率与TPM成熟度评估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TPM架构与推进方式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自主保全与专业保全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个别改善与系统改善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安全发展与创新管理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安全事故预防与安全监察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重点行业领域安全监管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突发事件应对与应急管理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安全生产科技与保障能力建设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生产计划与物料控制PMC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供应商管理与谈判技巧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库存管理通用模型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定期与定量订购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MRP、MRPⅡ与ERP等生产计划详述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生产控制的优化技术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供应商的选择与评价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询价、比价与供应商成本构成分析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应对强势及弱势供应商的管理策略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供应商谈判需要解决的关键问题及技巧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000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8"/>
                <w:szCs w:val="28"/>
              </w:rPr>
              <w:t>智能制造篇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机器、算法（软件）与人协同，降本增效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智能制造基础-数字化和人工智能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数字与现实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人与机器的深度融合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智能化应用与智能工厂模型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工业4.0、工业互联网和中国制造2025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正确理解智能制造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未来的产品生产模式是什么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新兴技术在制造中的应用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信息化战略管理与企业创新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大数据、云计算、人工智能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物联网与工业互联网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虚拟现实，增强现实与混合现实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国内外智能制造应用解析</w:t>
            </w:r>
          </w:p>
        </w:tc>
        <w:tc>
          <w:tcPr>
            <w:tcW w:w="4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信息与信息技术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运作模式创新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组织、流程与服务创新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共享经济下的企业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9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000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FFFFFF"/>
                <w:kern w:val="0"/>
                <w:sz w:val="28"/>
                <w:szCs w:val="28"/>
              </w:rPr>
              <w:t>领导力素质提升篇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打造领导力——从技术走向管理</w:t>
            </w:r>
          </w:p>
        </w:tc>
        <w:tc>
          <w:tcPr>
            <w:tcW w:w="4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666666"/>
                <w:kern w:val="0"/>
                <w:szCs w:val="21"/>
              </w:rPr>
              <w:t>经济大势与热点分析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</w:trPr>
        <w:tc>
          <w:tcPr>
            <w:tcW w:w="44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管理者的角色认知 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通过有效计划来达成目标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监督、激励员工的方法和技巧     </w:t>
            </w:r>
          </w:p>
        </w:tc>
        <w:tc>
          <w:tcPr>
            <w:tcW w:w="4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国内外经济形势分析与国家权威政策解读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“一带一路”战略与企业发展机遇</w:t>
            </w:r>
          </w:p>
          <w:p>
            <w:pPr>
              <w:widowControl/>
              <w:spacing w:line="480" w:lineRule="exact"/>
              <w:ind w:left="420" w:hanging="420"/>
              <w:jc w:val="left"/>
              <w:rPr>
                <w:rFonts w:ascii="微软雅黑" w:hAnsi="微软雅黑" w:eastAsia="微软雅黑" w:cs="宋体"/>
                <w:color w:val="666666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color w:val="666666"/>
                <w:kern w:val="0"/>
                <w:szCs w:val="21"/>
              </w:rPr>
              <w:t>地缘局势变化对企业战略布局的影响</w:t>
            </w:r>
          </w:p>
        </w:tc>
      </w:tr>
    </w:tbl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b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注：每学年课题根据行业热点会有20％进行微调，调整后师资水平与前期持平。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b/>
          <w:bCs/>
          <w:color w:val="C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>【部分授课专家】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丁学东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美国威斯康星理工大学工业制造专业主任、教授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范玉顺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清华大学自动化系教授、博导，自动化系系统集成研究所所长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王凯波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清华大学研究生院副院长，美国质量协会认证六西格玛黑带（ASQ CSSBB</w:t>
      </w:r>
      <w:r>
        <w:rPr>
          <w:rFonts w:ascii="微软雅黑" w:hAnsi="微软雅黑" w:eastAsia="微软雅黑" w:cs="宋体"/>
          <w:color w:val="333333"/>
          <w:kern w:val="0"/>
          <w:szCs w:val="21"/>
        </w:rPr>
        <w:t>）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张智海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清华大学工业工程系副教授、工业工程系工程系统研究所所长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艾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钧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清华大学博士、副教授，百度JBP计划战略合作者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杨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钢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中国“零缺陷之父”、中国十大质量人物，克劳士比中国学院创始人兼院长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李丰杰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 xml:space="preserve">  实战生产管理专家、华夏精益研究院院长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董海滨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智能制造实战专家、工信部智能制造领域特聘专家讲师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齐振宏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变革领导力导师、国家“双一流”学科博士生导师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吴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江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产品运营管理专家、华为大学国家总经理项目教练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柳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草 </w:t>
      </w:r>
      <w:r>
        <w:rPr>
          <w:rFonts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著名生产管理实战专家、500强企业的精益改善与TPM设备管理专家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张洪涛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精益制造专家、微动力管理创新中心创始人 总架构师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黄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杰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知名的成本管控专家、日本产业训练协会认证TWI 讲师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b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王延臣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知名生产管理专家、中国管理科学研究院特邀研究员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 xml:space="preserve">袁 </w:t>
      </w:r>
      <w:r>
        <w:rPr>
          <w:rFonts w:ascii="微软雅黑" w:hAnsi="微软雅黑" w:eastAsia="微软雅黑" w:cs="宋体"/>
          <w:b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b/>
          <w:color w:val="333333"/>
          <w:kern w:val="0"/>
          <w:szCs w:val="21"/>
        </w:rPr>
        <w:t>军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ascii="微软雅黑" w:hAnsi="微软雅黑" w:eastAsia="微软雅黑" w:cs="宋体"/>
          <w:color w:val="333333"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精准精细精益实战落地教练</w:t>
      </w:r>
    </w:p>
    <w:p>
      <w:pPr>
        <w:rPr>
          <w:rFonts w:ascii="微软雅黑" w:hAnsi="微软雅黑" w:eastAsia="微软雅黑"/>
          <w:b/>
          <w:color w:val="C00000"/>
          <w:sz w:val="24"/>
          <w:szCs w:val="24"/>
        </w:rPr>
      </w:pPr>
      <w:r>
        <w:rPr>
          <w:rFonts w:hint="eastAsia" w:ascii="微软雅黑" w:hAnsi="微软雅黑" w:eastAsia="微软雅黑"/>
          <w:b/>
          <w:color w:val="C00000"/>
          <w:sz w:val="24"/>
          <w:szCs w:val="24"/>
        </w:rPr>
        <w:t>【招生对象】</w:t>
      </w:r>
    </w:p>
    <w:p>
      <w:pPr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主管生产的厂长、副厂长、生产总监、车间主任及负责生产的其他负责人等。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C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>【增值活动】</w:t>
      </w:r>
    </w:p>
    <w:p>
      <w:pPr>
        <w:widowControl/>
        <w:shd w:val="clear" w:color="auto" w:fill="FFFFFF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课余时间将结合授课安排及班级情况等酌情选择，组织丰富多彩的学员活动。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b/>
          <w:bCs/>
          <w:color w:val="C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>【学制设置】</w:t>
      </w:r>
    </w:p>
    <w:p>
      <w:pPr>
        <w:widowControl/>
        <w:shd w:val="clear" w:color="auto" w:fill="FFFFFF"/>
        <w:ind w:firstLine="480"/>
        <w:jc w:val="left"/>
        <w:rPr>
          <w:rFonts w:ascii="微软雅黑" w:hAnsi="微软雅黑" w:eastAsia="微软雅黑" w:cs="宋体"/>
          <w:color w:val="333333"/>
          <w:kern w:val="0"/>
          <w:szCs w:val="21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学制1年，每两个月授课一次，共6次，每次3天，总计18天，108课时。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b/>
          <w:bCs/>
          <w:color w:val="C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b/>
          <w:bCs/>
          <w:color w:val="C00000"/>
          <w:kern w:val="0"/>
          <w:sz w:val="24"/>
          <w:szCs w:val="24"/>
        </w:rPr>
        <w:t>【学费标准及交费方式】</w:t>
      </w:r>
    </w:p>
    <w:p>
      <w:pPr>
        <w:pStyle w:val="4"/>
        <w:widowControl/>
        <w:spacing w:before="0" w:beforeAutospacing="0" w:after="0" w:afterAutospacing="0" w:line="460" w:lineRule="exact"/>
        <w:ind w:right="147" w:firstLine="630" w:firstLineChars="300"/>
        <w:rPr>
          <w:rFonts w:hint="eastAsia" w:ascii="微软雅黑" w:hAnsi="微软雅黑" w:eastAsia="微软雅黑" w:cs="微软雅黑"/>
          <w:color w:val="00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1"/>
          <w:szCs w:val="21"/>
          <w:shd w:val="clear" w:color="auto" w:fill="FFFFFF"/>
          <w:lang w:bidi="ar"/>
        </w:rPr>
        <w:t>培训费：19800元/人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shd w:val="clear" w:color="auto" w:fill="FFFFFF"/>
          <w:lang w:bidi="ar"/>
        </w:rPr>
        <w:t>，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shd w:val="clear" w:color="auto" w:fill="FFFFFF"/>
          <w:lang w:eastAsia="zh-CN" w:bidi="ar"/>
        </w:rPr>
        <w:t>汇至指定账户，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shd w:val="clear" w:color="auto" w:fill="FFFFFF"/>
          <w:lang w:bidi="ar"/>
        </w:rPr>
        <w:t>开具正规发票。学习期间交通食宿费自理</w:t>
      </w:r>
      <w:r>
        <w:rPr>
          <w:rFonts w:hint="eastAsia" w:ascii="微软雅黑" w:hAnsi="微软雅黑" w:eastAsia="微软雅黑" w:cs="微软雅黑"/>
          <w:color w:val="000000"/>
          <w:sz w:val="21"/>
          <w:szCs w:val="21"/>
          <w:shd w:val="clear" w:color="auto" w:fill="FFFFFF"/>
          <w:lang w:eastAsia="zh-CN" w:bidi="ar"/>
        </w:rPr>
        <w:t>。</w:t>
      </w: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bookmarkStart w:id="0" w:name="_GoBack"/>
      <w:bookmarkEnd w:id="0"/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left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</w:p>
    <w:sectPr>
      <w:pgSz w:w="11906" w:h="16838"/>
      <w:pgMar w:top="1440" w:right="1361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C7"/>
    <w:rsid w:val="000008CC"/>
    <w:rsid w:val="00001788"/>
    <w:rsid w:val="00003232"/>
    <w:rsid w:val="00005AC3"/>
    <w:rsid w:val="00006B51"/>
    <w:rsid w:val="00020C1C"/>
    <w:rsid w:val="00030318"/>
    <w:rsid w:val="0003159D"/>
    <w:rsid w:val="000318E4"/>
    <w:rsid w:val="000432B8"/>
    <w:rsid w:val="00050185"/>
    <w:rsid w:val="00051D35"/>
    <w:rsid w:val="000561BB"/>
    <w:rsid w:val="00057425"/>
    <w:rsid w:val="00064E41"/>
    <w:rsid w:val="00065DE1"/>
    <w:rsid w:val="00067D2D"/>
    <w:rsid w:val="0008261B"/>
    <w:rsid w:val="000837F1"/>
    <w:rsid w:val="00084766"/>
    <w:rsid w:val="000851F9"/>
    <w:rsid w:val="0009131D"/>
    <w:rsid w:val="000A49CA"/>
    <w:rsid w:val="000A587F"/>
    <w:rsid w:val="000C3B62"/>
    <w:rsid w:val="000E2690"/>
    <w:rsid w:val="000E6DCF"/>
    <w:rsid w:val="000F2E55"/>
    <w:rsid w:val="000F3F48"/>
    <w:rsid w:val="000F5279"/>
    <w:rsid w:val="001000CA"/>
    <w:rsid w:val="00101A0A"/>
    <w:rsid w:val="001022CD"/>
    <w:rsid w:val="0010563A"/>
    <w:rsid w:val="00112C84"/>
    <w:rsid w:val="00113B1E"/>
    <w:rsid w:val="00122B8D"/>
    <w:rsid w:val="00125939"/>
    <w:rsid w:val="00126B0E"/>
    <w:rsid w:val="0012722B"/>
    <w:rsid w:val="00133F17"/>
    <w:rsid w:val="0014084A"/>
    <w:rsid w:val="00140F62"/>
    <w:rsid w:val="001423A8"/>
    <w:rsid w:val="001434ED"/>
    <w:rsid w:val="00144654"/>
    <w:rsid w:val="00146A44"/>
    <w:rsid w:val="00150C21"/>
    <w:rsid w:val="0015697B"/>
    <w:rsid w:val="00156E89"/>
    <w:rsid w:val="001643C3"/>
    <w:rsid w:val="00181F1B"/>
    <w:rsid w:val="001838AB"/>
    <w:rsid w:val="001859D1"/>
    <w:rsid w:val="00186C59"/>
    <w:rsid w:val="00190A34"/>
    <w:rsid w:val="001913A4"/>
    <w:rsid w:val="00194CA0"/>
    <w:rsid w:val="001A749D"/>
    <w:rsid w:val="001B65D8"/>
    <w:rsid w:val="001B727E"/>
    <w:rsid w:val="001B7AFD"/>
    <w:rsid w:val="001C43CE"/>
    <w:rsid w:val="001C4E21"/>
    <w:rsid w:val="001D124A"/>
    <w:rsid w:val="001D4E3A"/>
    <w:rsid w:val="001E0DC0"/>
    <w:rsid w:val="00200173"/>
    <w:rsid w:val="00202FA0"/>
    <w:rsid w:val="002073B7"/>
    <w:rsid w:val="002076EC"/>
    <w:rsid w:val="00217A88"/>
    <w:rsid w:val="002214F0"/>
    <w:rsid w:val="00222F3B"/>
    <w:rsid w:val="00223190"/>
    <w:rsid w:val="00224E4A"/>
    <w:rsid w:val="00254858"/>
    <w:rsid w:val="002560BC"/>
    <w:rsid w:val="00256B62"/>
    <w:rsid w:val="00257B93"/>
    <w:rsid w:val="00260689"/>
    <w:rsid w:val="00272979"/>
    <w:rsid w:val="002850E0"/>
    <w:rsid w:val="002859B0"/>
    <w:rsid w:val="00293AE1"/>
    <w:rsid w:val="002A515B"/>
    <w:rsid w:val="002A7386"/>
    <w:rsid w:val="002B10C7"/>
    <w:rsid w:val="002C3FE3"/>
    <w:rsid w:val="002C69F5"/>
    <w:rsid w:val="002D7F40"/>
    <w:rsid w:val="002E11E9"/>
    <w:rsid w:val="002E3940"/>
    <w:rsid w:val="002E79E7"/>
    <w:rsid w:val="002F5417"/>
    <w:rsid w:val="002F5ECC"/>
    <w:rsid w:val="002F7528"/>
    <w:rsid w:val="002F7D27"/>
    <w:rsid w:val="0032361A"/>
    <w:rsid w:val="00334829"/>
    <w:rsid w:val="003355C1"/>
    <w:rsid w:val="00335C04"/>
    <w:rsid w:val="00342341"/>
    <w:rsid w:val="0035529C"/>
    <w:rsid w:val="003579A0"/>
    <w:rsid w:val="003624DA"/>
    <w:rsid w:val="003838B6"/>
    <w:rsid w:val="003931E0"/>
    <w:rsid w:val="003A0DB3"/>
    <w:rsid w:val="003A433F"/>
    <w:rsid w:val="003A5F3C"/>
    <w:rsid w:val="003B1395"/>
    <w:rsid w:val="003B54FF"/>
    <w:rsid w:val="003D00DC"/>
    <w:rsid w:val="003D1378"/>
    <w:rsid w:val="003D6B32"/>
    <w:rsid w:val="0041483C"/>
    <w:rsid w:val="00417CA4"/>
    <w:rsid w:val="00422233"/>
    <w:rsid w:val="0042434E"/>
    <w:rsid w:val="00427969"/>
    <w:rsid w:val="00431E7C"/>
    <w:rsid w:val="004363A3"/>
    <w:rsid w:val="004367F7"/>
    <w:rsid w:val="0043724E"/>
    <w:rsid w:val="00437EC0"/>
    <w:rsid w:val="00440947"/>
    <w:rsid w:val="00456F45"/>
    <w:rsid w:val="00461EE2"/>
    <w:rsid w:val="00471849"/>
    <w:rsid w:val="004732F7"/>
    <w:rsid w:val="004747B7"/>
    <w:rsid w:val="004800E9"/>
    <w:rsid w:val="00482121"/>
    <w:rsid w:val="00486350"/>
    <w:rsid w:val="00497181"/>
    <w:rsid w:val="004A0AD8"/>
    <w:rsid w:val="004A5583"/>
    <w:rsid w:val="004C00A0"/>
    <w:rsid w:val="004C20C9"/>
    <w:rsid w:val="004C2E2E"/>
    <w:rsid w:val="004C3375"/>
    <w:rsid w:val="004C6D9E"/>
    <w:rsid w:val="004D1E3A"/>
    <w:rsid w:val="004D56A6"/>
    <w:rsid w:val="004E27A9"/>
    <w:rsid w:val="004E43B4"/>
    <w:rsid w:val="005070FD"/>
    <w:rsid w:val="00511A02"/>
    <w:rsid w:val="00514CBF"/>
    <w:rsid w:val="005156F8"/>
    <w:rsid w:val="0051751D"/>
    <w:rsid w:val="005221DD"/>
    <w:rsid w:val="00531E41"/>
    <w:rsid w:val="00543846"/>
    <w:rsid w:val="00545732"/>
    <w:rsid w:val="005535D4"/>
    <w:rsid w:val="0055567F"/>
    <w:rsid w:val="00556B24"/>
    <w:rsid w:val="005573D5"/>
    <w:rsid w:val="00570238"/>
    <w:rsid w:val="00572D30"/>
    <w:rsid w:val="0057405C"/>
    <w:rsid w:val="0058648A"/>
    <w:rsid w:val="00587811"/>
    <w:rsid w:val="005919B0"/>
    <w:rsid w:val="0059281C"/>
    <w:rsid w:val="005A0C44"/>
    <w:rsid w:val="005A3CB1"/>
    <w:rsid w:val="005A4FA4"/>
    <w:rsid w:val="005A5094"/>
    <w:rsid w:val="005B1A69"/>
    <w:rsid w:val="005B200C"/>
    <w:rsid w:val="005B3BB9"/>
    <w:rsid w:val="005C0BB8"/>
    <w:rsid w:val="005C2EB3"/>
    <w:rsid w:val="005D1439"/>
    <w:rsid w:val="005E726F"/>
    <w:rsid w:val="005F1C4C"/>
    <w:rsid w:val="005F596B"/>
    <w:rsid w:val="005F62A5"/>
    <w:rsid w:val="00607017"/>
    <w:rsid w:val="00610DC9"/>
    <w:rsid w:val="00615088"/>
    <w:rsid w:val="00643705"/>
    <w:rsid w:val="0065424C"/>
    <w:rsid w:val="006631DF"/>
    <w:rsid w:val="00681313"/>
    <w:rsid w:val="006822D9"/>
    <w:rsid w:val="00682713"/>
    <w:rsid w:val="00685F32"/>
    <w:rsid w:val="006865CA"/>
    <w:rsid w:val="006B2BE5"/>
    <w:rsid w:val="006C2B0E"/>
    <w:rsid w:val="006D1F0D"/>
    <w:rsid w:val="006D4590"/>
    <w:rsid w:val="006D75F5"/>
    <w:rsid w:val="006E2C95"/>
    <w:rsid w:val="006E6792"/>
    <w:rsid w:val="006F7526"/>
    <w:rsid w:val="006F79FE"/>
    <w:rsid w:val="00711766"/>
    <w:rsid w:val="00731A3A"/>
    <w:rsid w:val="00731D72"/>
    <w:rsid w:val="00736F66"/>
    <w:rsid w:val="0073701A"/>
    <w:rsid w:val="007563DB"/>
    <w:rsid w:val="007577AB"/>
    <w:rsid w:val="0077066A"/>
    <w:rsid w:val="007A2A62"/>
    <w:rsid w:val="007D008E"/>
    <w:rsid w:val="007D5303"/>
    <w:rsid w:val="007D58B3"/>
    <w:rsid w:val="007D58E1"/>
    <w:rsid w:val="007F2F38"/>
    <w:rsid w:val="007F39BE"/>
    <w:rsid w:val="008149EF"/>
    <w:rsid w:val="00820B36"/>
    <w:rsid w:val="00824D8C"/>
    <w:rsid w:val="0082703B"/>
    <w:rsid w:val="00852CFD"/>
    <w:rsid w:val="00852E4E"/>
    <w:rsid w:val="00861596"/>
    <w:rsid w:val="00861FCD"/>
    <w:rsid w:val="008651B3"/>
    <w:rsid w:val="0086626F"/>
    <w:rsid w:val="0087551C"/>
    <w:rsid w:val="008813B3"/>
    <w:rsid w:val="00885E83"/>
    <w:rsid w:val="00891E5D"/>
    <w:rsid w:val="00892452"/>
    <w:rsid w:val="008A39D5"/>
    <w:rsid w:val="008A464F"/>
    <w:rsid w:val="008A63BB"/>
    <w:rsid w:val="008C0C9B"/>
    <w:rsid w:val="008C3BF0"/>
    <w:rsid w:val="008C6055"/>
    <w:rsid w:val="008D3066"/>
    <w:rsid w:val="008D5E39"/>
    <w:rsid w:val="008D6373"/>
    <w:rsid w:val="008D6497"/>
    <w:rsid w:val="008D6B1B"/>
    <w:rsid w:val="00901C2E"/>
    <w:rsid w:val="00904E71"/>
    <w:rsid w:val="009050D8"/>
    <w:rsid w:val="00914320"/>
    <w:rsid w:val="009210E6"/>
    <w:rsid w:val="009326F2"/>
    <w:rsid w:val="009347C6"/>
    <w:rsid w:val="00935EE9"/>
    <w:rsid w:val="00940251"/>
    <w:rsid w:val="00940D0C"/>
    <w:rsid w:val="00943F9F"/>
    <w:rsid w:val="009456BE"/>
    <w:rsid w:val="00960723"/>
    <w:rsid w:val="009870B1"/>
    <w:rsid w:val="009A22F2"/>
    <w:rsid w:val="009A73A0"/>
    <w:rsid w:val="009B39C0"/>
    <w:rsid w:val="009B68F2"/>
    <w:rsid w:val="009C047D"/>
    <w:rsid w:val="009C162E"/>
    <w:rsid w:val="009C459F"/>
    <w:rsid w:val="009C6D21"/>
    <w:rsid w:val="009C7B65"/>
    <w:rsid w:val="009D317D"/>
    <w:rsid w:val="009D4C29"/>
    <w:rsid w:val="009D4C59"/>
    <w:rsid w:val="009E0066"/>
    <w:rsid w:val="009E77FB"/>
    <w:rsid w:val="009E7BD5"/>
    <w:rsid w:val="009F1B50"/>
    <w:rsid w:val="009F1C79"/>
    <w:rsid w:val="00A014F9"/>
    <w:rsid w:val="00A0752E"/>
    <w:rsid w:val="00A1542B"/>
    <w:rsid w:val="00A16433"/>
    <w:rsid w:val="00A24A13"/>
    <w:rsid w:val="00A41D4B"/>
    <w:rsid w:val="00A47592"/>
    <w:rsid w:val="00A47635"/>
    <w:rsid w:val="00A50943"/>
    <w:rsid w:val="00A51510"/>
    <w:rsid w:val="00A51FDE"/>
    <w:rsid w:val="00A552C8"/>
    <w:rsid w:val="00A57F19"/>
    <w:rsid w:val="00A64CF5"/>
    <w:rsid w:val="00A65BC3"/>
    <w:rsid w:val="00A70100"/>
    <w:rsid w:val="00A70332"/>
    <w:rsid w:val="00A75E0A"/>
    <w:rsid w:val="00A82D8F"/>
    <w:rsid w:val="00A85D24"/>
    <w:rsid w:val="00A91C7E"/>
    <w:rsid w:val="00A95B72"/>
    <w:rsid w:val="00AA0206"/>
    <w:rsid w:val="00AA5F42"/>
    <w:rsid w:val="00AB12A7"/>
    <w:rsid w:val="00AB2B47"/>
    <w:rsid w:val="00AB2BEE"/>
    <w:rsid w:val="00AB5637"/>
    <w:rsid w:val="00AB7F33"/>
    <w:rsid w:val="00AC4C19"/>
    <w:rsid w:val="00AC4F84"/>
    <w:rsid w:val="00AD1A57"/>
    <w:rsid w:val="00AD533C"/>
    <w:rsid w:val="00AF62A5"/>
    <w:rsid w:val="00B02AE3"/>
    <w:rsid w:val="00B062AC"/>
    <w:rsid w:val="00B11BDB"/>
    <w:rsid w:val="00B13D7E"/>
    <w:rsid w:val="00B17B3D"/>
    <w:rsid w:val="00B313F5"/>
    <w:rsid w:val="00B3472F"/>
    <w:rsid w:val="00B42E60"/>
    <w:rsid w:val="00B709B2"/>
    <w:rsid w:val="00B7270F"/>
    <w:rsid w:val="00B82246"/>
    <w:rsid w:val="00BA00C9"/>
    <w:rsid w:val="00BA5E0F"/>
    <w:rsid w:val="00BA65B8"/>
    <w:rsid w:val="00BB3BE9"/>
    <w:rsid w:val="00BB7E4D"/>
    <w:rsid w:val="00BC39D1"/>
    <w:rsid w:val="00BE0D42"/>
    <w:rsid w:val="00BE18E4"/>
    <w:rsid w:val="00C048F4"/>
    <w:rsid w:val="00C0508F"/>
    <w:rsid w:val="00C10F4F"/>
    <w:rsid w:val="00C22095"/>
    <w:rsid w:val="00C310F3"/>
    <w:rsid w:val="00C32A2A"/>
    <w:rsid w:val="00C4711F"/>
    <w:rsid w:val="00C5548D"/>
    <w:rsid w:val="00C555AA"/>
    <w:rsid w:val="00C631FD"/>
    <w:rsid w:val="00C70356"/>
    <w:rsid w:val="00C72294"/>
    <w:rsid w:val="00C73D5B"/>
    <w:rsid w:val="00C76388"/>
    <w:rsid w:val="00C86B4B"/>
    <w:rsid w:val="00C9221E"/>
    <w:rsid w:val="00C92EF5"/>
    <w:rsid w:val="00C94DD5"/>
    <w:rsid w:val="00CA5A31"/>
    <w:rsid w:val="00CB294A"/>
    <w:rsid w:val="00CB3F6B"/>
    <w:rsid w:val="00CC00DD"/>
    <w:rsid w:val="00CD2D01"/>
    <w:rsid w:val="00CD5898"/>
    <w:rsid w:val="00CE15E3"/>
    <w:rsid w:val="00CE65BE"/>
    <w:rsid w:val="00CF7445"/>
    <w:rsid w:val="00D039B4"/>
    <w:rsid w:val="00D12236"/>
    <w:rsid w:val="00D170B6"/>
    <w:rsid w:val="00D4242E"/>
    <w:rsid w:val="00D4303A"/>
    <w:rsid w:val="00D5056E"/>
    <w:rsid w:val="00D532E6"/>
    <w:rsid w:val="00D63ACC"/>
    <w:rsid w:val="00D70A8C"/>
    <w:rsid w:val="00D84646"/>
    <w:rsid w:val="00D96A2F"/>
    <w:rsid w:val="00DA1ECD"/>
    <w:rsid w:val="00DA237F"/>
    <w:rsid w:val="00DA434C"/>
    <w:rsid w:val="00DA5FB6"/>
    <w:rsid w:val="00DA5FFB"/>
    <w:rsid w:val="00DB7E66"/>
    <w:rsid w:val="00DC4A4C"/>
    <w:rsid w:val="00DC57EE"/>
    <w:rsid w:val="00DD3FC8"/>
    <w:rsid w:val="00DD470F"/>
    <w:rsid w:val="00DE2E43"/>
    <w:rsid w:val="00DF0549"/>
    <w:rsid w:val="00DF22F8"/>
    <w:rsid w:val="00DF3A1F"/>
    <w:rsid w:val="00DF4AA9"/>
    <w:rsid w:val="00E07592"/>
    <w:rsid w:val="00E10995"/>
    <w:rsid w:val="00E11B51"/>
    <w:rsid w:val="00E16B4F"/>
    <w:rsid w:val="00E171C1"/>
    <w:rsid w:val="00E17DB5"/>
    <w:rsid w:val="00E232B8"/>
    <w:rsid w:val="00E2355C"/>
    <w:rsid w:val="00E428C6"/>
    <w:rsid w:val="00E51A07"/>
    <w:rsid w:val="00E51D68"/>
    <w:rsid w:val="00E6422A"/>
    <w:rsid w:val="00E724B3"/>
    <w:rsid w:val="00E77E2D"/>
    <w:rsid w:val="00E8271F"/>
    <w:rsid w:val="00E86B0B"/>
    <w:rsid w:val="00E936F2"/>
    <w:rsid w:val="00EA408C"/>
    <w:rsid w:val="00EB3F2D"/>
    <w:rsid w:val="00EC38AF"/>
    <w:rsid w:val="00ED0093"/>
    <w:rsid w:val="00ED34AD"/>
    <w:rsid w:val="00EE7F0A"/>
    <w:rsid w:val="00F0027E"/>
    <w:rsid w:val="00F00D60"/>
    <w:rsid w:val="00F0127E"/>
    <w:rsid w:val="00F0616C"/>
    <w:rsid w:val="00F3014B"/>
    <w:rsid w:val="00F313CF"/>
    <w:rsid w:val="00F355DA"/>
    <w:rsid w:val="00F35BEA"/>
    <w:rsid w:val="00F365A1"/>
    <w:rsid w:val="00F42CF3"/>
    <w:rsid w:val="00F50676"/>
    <w:rsid w:val="00F60D37"/>
    <w:rsid w:val="00F62F29"/>
    <w:rsid w:val="00F76234"/>
    <w:rsid w:val="00F87EB0"/>
    <w:rsid w:val="00FA3EDA"/>
    <w:rsid w:val="00FA65AD"/>
    <w:rsid w:val="00FA690C"/>
    <w:rsid w:val="00FC2D75"/>
    <w:rsid w:val="00FC5029"/>
    <w:rsid w:val="00FC752A"/>
    <w:rsid w:val="00FE0714"/>
    <w:rsid w:val="00FE0D07"/>
    <w:rsid w:val="08577C6A"/>
    <w:rsid w:val="3357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428</Words>
  <Characters>2444</Characters>
  <Lines>20</Lines>
  <Paragraphs>5</Paragraphs>
  <TotalTime>3</TotalTime>
  <ScaleCrop>false</ScaleCrop>
  <LinksUpToDate>false</LinksUpToDate>
  <CharactersWithSpaces>2867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2020-06-15T01:48:00Z</dcterms:created>
  <dc:creator>zhangyulin</dc:creator>
  <cp:lastModifiedBy>王娅婷</cp:lastModifiedBy>
  <dcterms:modified xsi:type="dcterms:W3CDTF">2020-06-18T02:22:29Z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